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93F10" w:rsidRPr="00194AA6" w:rsidRDefault="00193F10" w:rsidP="00194AA6">
      <w:pPr>
        <w:jc w:val="center"/>
        <w:rPr>
          <w:sz w:val="22"/>
          <w:szCs w:val="22"/>
        </w:rPr>
      </w:pPr>
    </w:p>
    <w:p w:rsidR="00193F10" w:rsidRDefault="0087009A" w:rsidP="00194AA6">
      <w:pPr>
        <w:jc w:val="center"/>
      </w:pPr>
      <w:r>
        <w:rPr>
          <w:noProof/>
        </w:rPr>
        <w:drawing>
          <wp:inline distT="0" distB="0" distL="0" distR="0">
            <wp:extent cx="2239010" cy="1467482"/>
            <wp:effectExtent l="0" t="0" r="0" b="0"/>
            <wp:docPr id="1" name="Picture 1" descr="dep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color"/>
                    <pic:cNvPicPr>
                      <a:picLocks noChangeAspect="1" noChangeArrowheads="1"/>
                    </pic:cNvPicPr>
                  </pic:nvPicPr>
                  <pic:blipFill>
                    <a:blip r:embed="rId8" cstate="print"/>
                    <a:srcRect/>
                    <a:stretch>
                      <a:fillRect/>
                    </a:stretch>
                  </pic:blipFill>
                  <pic:spPr bwMode="auto">
                    <a:xfrm>
                      <a:off x="0" y="0"/>
                      <a:ext cx="2253212" cy="1476790"/>
                    </a:xfrm>
                    <a:prstGeom prst="rect">
                      <a:avLst/>
                    </a:prstGeom>
                    <a:noFill/>
                    <a:ln w="9525">
                      <a:noFill/>
                      <a:miter lim="800000"/>
                      <a:headEnd/>
                      <a:tailEnd/>
                    </a:ln>
                  </pic:spPr>
                </pic:pic>
              </a:graphicData>
            </a:graphic>
          </wp:inline>
        </w:drawing>
      </w:r>
    </w:p>
    <w:p w:rsidR="001771DC" w:rsidRPr="00194AA6" w:rsidRDefault="001771DC" w:rsidP="00194AA6">
      <w:pPr>
        <w:jc w:val="center"/>
        <w:rPr>
          <w:sz w:val="22"/>
          <w:szCs w:val="22"/>
        </w:rPr>
      </w:pPr>
    </w:p>
    <w:p w:rsidR="00193F10" w:rsidRPr="00E87561" w:rsidRDefault="00193F10" w:rsidP="00194AA6">
      <w:pPr>
        <w:pStyle w:val="Heading3"/>
        <w:rPr>
          <w:b/>
          <w:sz w:val="36"/>
          <w:szCs w:val="36"/>
        </w:rPr>
      </w:pPr>
      <w:r w:rsidRPr="00E87561">
        <w:rPr>
          <w:b/>
          <w:sz w:val="36"/>
          <w:szCs w:val="36"/>
        </w:rPr>
        <w:t>TECHNICAL EVALUATION</w:t>
      </w:r>
    </w:p>
    <w:p w:rsidR="00193F10" w:rsidRPr="00E87561" w:rsidRDefault="00193F10" w:rsidP="00194AA6">
      <w:pPr>
        <w:jc w:val="center"/>
        <w:rPr>
          <w:b/>
          <w:sz w:val="36"/>
          <w:szCs w:val="36"/>
        </w:rPr>
      </w:pPr>
      <w:r w:rsidRPr="00E87561">
        <w:rPr>
          <w:b/>
          <w:sz w:val="36"/>
          <w:szCs w:val="36"/>
        </w:rPr>
        <w:t>&amp;</w:t>
      </w:r>
    </w:p>
    <w:p w:rsidR="00193F10" w:rsidRPr="00E87561" w:rsidRDefault="00193F10" w:rsidP="00E87561">
      <w:pPr>
        <w:spacing w:after="840"/>
        <w:jc w:val="center"/>
        <w:rPr>
          <w:b/>
          <w:sz w:val="36"/>
          <w:szCs w:val="36"/>
        </w:rPr>
      </w:pPr>
      <w:r w:rsidRPr="00E87561">
        <w:rPr>
          <w:b/>
          <w:sz w:val="36"/>
          <w:szCs w:val="36"/>
        </w:rPr>
        <w:t>PRELIMINARY DETERMINATION</w:t>
      </w:r>
    </w:p>
    <w:p w:rsidR="00194AA6" w:rsidRPr="00194AA6" w:rsidRDefault="00194AA6" w:rsidP="00194AA6">
      <w:pPr>
        <w:pStyle w:val="Heading4"/>
        <w:spacing w:after="120"/>
        <w:rPr>
          <w:bCs/>
          <w:szCs w:val="22"/>
        </w:rPr>
      </w:pPr>
      <w:r w:rsidRPr="00194AA6">
        <w:rPr>
          <w:bCs/>
          <w:szCs w:val="22"/>
        </w:rPr>
        <w:t>APPLICANT</w:t>
      </w:r>
    </w:p>
    <w:p w:rsidR="00194AA6" w:rsidRDefault="00B2762F" w:rsidP="00194AA6">
      <w:pPr>
        <w:widowControl w:val="0"/>
        <w:jc w:val="center"/>
        <w:rPr>
          <w:sz w:val="22"/>
          <w:szCs w:val="22"/>
        </w:rPr>
      </w:pPr>
      <w:r>
        <w:rPr>
          <w:sz w:val="22"/>
          <w:szCs w:val="22"/>
        </w:rPr>
        <w:t>Solid Waste Authority of Palm Beach County</w:t>
      </w:r>
    </w:p>
    <w:p w:rsidR="00194AA6" w:rsidRPr="00634F21" w:rsidRDefault="00B2762F" w:rsidP="00194AA6">
      <w:pPr>
        <w:widowControl w:val="0"/>
        <w:jc w:val="center"/>
        <w:rPr>
          <w:sz w:val="22"/>
          <w:szCs w:val="22"/>
        </w:rPr>
      </w:pPr>
      <w:r w:rsidRPr="00634F21">
        <w:rPr>
          <w:sz w:val="22"/>
          <w:szCs w:val="22"/>
        </w:rPr>
        <w:t>7501 North Jog Road</w:t>
      </w:r>
    </w:p>
    <w:p w:rsidR="00194AA6" w:rsidRPr="00746205" w:rsidRDefault="00B2762F" w:rsidP="00E87561">
      <w:pPr>
        <w:widowControl w:val="0"/>
        <w:spacing w:after="360"/>
        <w:jc w:val="center"/>
        <w:rPr>
          <w:sz w:val="22"/>
          <w:szCs w:val="22"/>
        </w:rPr>
      </w:pPr>
      <w:r w:rsidRPr="00634F21">
        <w:rPr>
          <w:sz w:val="22"/>
          <w:szCs w:val="22"/>
        </w:rPr>
        <w:t>West Palm Beach</w:t>
      </w:r>
      <w:r w:rsidR="00194AA6" w:rsidRPr="00634F21">
        <w:rPr>
          <w:sz w:val="22"/>
          <w:szCs w:val="22"/>
        </w:rPr>
        <w:t xml:space="preserve">, </w:t>
      </w:r>
      <w:r w:rsidRPr="00634F21">
        <w:rPr>
          <w:sz w:val="22"/>
          <w:szCs w:val="22"/>
        </w:rPr>
        <w:t>Florida 33412</w:t>
      </w:r>
    </w:p>
    <w:p w:rsidR="00194AA6" w:rsidRPr="00746205" w:rsidRDefault="00B2762F" w:rsidP="00194AA6">
      <w:pPr>
        <w:widowControl w:val="0"/>
        <w:jc w:val="center"/>
        <w:rPr>
          <w:sz w:val="22"/>
          <w:szCs w:val="22"/>
        </w:rPr>
      </w:pPr>
      <w:r>
        <w:rPr>
          <w:sz w:val="22"/>
          <w:szCs w:val="22"/>
        </w:rPr>
        <w:t>Palm Beach Renewable Energy Park</w:t>
      </w:r>
    </w:p>
    <w:p w:rsidR="00194AA6" w:rsidRDefault="00194AA6" w:rsidP="00E87561">
      <w:pPr>
        <w:widowControl w:val="0"/>
        <w:spacing w:after="600"/>
        <w:jc w:val="center"/>
        <w:rPr>
          <w:sz w:val="22"/>
          <w:szCs w:val="22"/>
        </w:rPr>
      </w:pPr>
      <w:r w:rsidRPr="00746205">
        <w:rPr>
          <w:sz w:val="22"/>
          <w:szCs w:val="22"/>
        </w:rPr>
        <w:t xml:space="preserve">Facility ID No. </w:t>
      </w:r>
      <w:r w:rsidR="00B2762F">
        <w:rPr>
          <w:sz w:val="22"/>
          <w:szCs w:val="22"/>
        </w:rPr>
        <w:t>0990234</w:t>
      </w:r>
    </w:p>
    <w:p w:rsidR="00193F10" w:rsidRDefault="00193F10" w:rsidP="00194AA6">
      <w:pPr>
        <w:pStyle w:val="Heading4"/>
        <w:spacing w:after="120"/>
        <w:rPr>
          <w:bCs/>
        </w:rPr>
      </w:pPr>
      <w:r>
        <w:rPr>
          <w:bCs/>
        </w:rPr>
        <w:t>PROJECT</w:t>
      </w:r>
    </w:p>
    <w:p w:rsidR="00193F10" w:rsidRDefault="00193F10" w:rsidP="00194AA6">
      <w:pPr>
        <w:pStyle w:val="Heading1"/>
        <w:spacing w:after="0"/>
        <w:ind w:left="0"/>
        <w:jc w:val="center"/>
        <w:rPr>
          <w:sz w:val="22"/>
        </w:rPr>
      </w:pPr>
      <w:r>
        <w:rPr>
          <w:sz w:val="22"/>
        </w:rPr>
        <w:t>P</w:t>
      </w:r>
      <w:r w:rsidR="00194AA6">
        <w:rPr>
          <w:sz w:val="22"/>
        </w:rPr>
        <w:t>roject</w:t>
      </w:r>
      <w:r>
        <w:rPr>
          <w:sz w:val="22"/>
        </w:rPr>
        <w:t xml:space="preserve"> </w:t>
      </w:r>
      <w:r w:rsidRPr="00634F21">
        <w:rPr>
          <w:sz w:val="22"/>
        </w:rPr>
        <w:t xml:space="preserve">No. </w:t>
      </w:r>
      <w:r w:rsidR="00B2762F" w:rsidRPr="00634F21">
        <w:rPr>
          <w:sz w:val="22"/>
        </w:rPr>
        <w:t>0990234</w:t>
      </w:r>
      <w:r w:rsidR="008603FF" w:rsidRPr="00634F21">
        <w:rPr>
          <w:sz w:val="22"/>
        </w:rPr>
        <w:t>-</w:t>
      </w:r>
      <w:r w:rsidR="00B2762F" w:rsidRPr="00634F21">
        <w:rPr>
          <w:sz w:val="22"/>
        </w:rPr>
        <w:t>032</w:t>
      </w:r>
      <w:r w:rsidR="008603FF" w:rsidRPr="00634F21">
        <w:rPr>
          <w:sz w:val="22"/>
        </w:rPr>
        <w:t>-AC</w:t>
      </w:r>
    </w:p>
    <w:p w:rsidR="00194AA6" w:rsidRDefault="00194AA6" w:rsidP="00194AA6">
      <w:pPr>
        <w:jc w:val="center"/>
        <w:rPr>
          <w:sz w:val="22"/>
        </w:rPr>
      </w:pPr>
      <w:r>
        <w:rPr>
          <w:sz w:val="22"/>
        </w:rPr>
        <w:t xml:space="preserve">Application for </w:t>
      </w:r>
      <w:r w:rsidR="008603FF">
        <w:rPr>
          <w:sz w:val="22"/>
        </w:rPr>
        <w:t xml:space="preserve">Minor Source </w:t>
      </w:r>
      <w:r>
        <w:rPr>
          <w:sz w:val="22"/>
        </w:rPr>
        <w:t>Air Construction Permit</w:t>
      </w:r>
    </w:p>
    <w:p w:rsidR="00193F10" w:rsidRPr="001D487F" w:rsidRDefault="00B2762F" w:rsidP="00E87561">
      <w:pPr>
        <w:spacing w:after="360"/>
        <w:jc w:val="center"/>
        <w:rPr>
          <w:sz w:val="22"/>
        </w:rPr>
      </w:pPr>
      <w:r>
        <w:rPr>
          <w:sz w:val="22"/>
        </w:rPr>
        <w:t xml:space="preserve">Palm Beach Renewable Energy Facility No. 2, Revision to Authorized </w:t>
      </w:r>
      <w:r w:rsidR="008234B2">
        <w:rPr>
          <w:sz w:val="22"/>
        </w:rPr>
        <w:t>Wastes</w:t>
      </w:r>
    </w:p>
    <w:p w:rsidR="00193F10" w:rsidRDefault="00193F10" w:rsidP="00194AA6">
      <w:pPr>
        <w:pStyle w:val="Heading4"/>
        <w:spacing w:after="120"/>
        <w:rPr>
          <w:bCs/>
        </w:rPr>
      </w:pPr>
      <w:r>
        <w:rPr>
          <w:bCs/>
        </w:rPr>
        <w:t>COUNTY</w:t>
      </w:r>
    </w:p>
    <w:p w:rsidR="00193F10" w:rsidRPr="001D487F" w:rsidRDefault="00B2762F" w:rsidP="00E87561">
      <w:pPr>
        <w:spacing w:after="960"/>
        <w:jc w:val="center"/>
        <w:rPr>
          <w:sz w:val="22"/>
        </w:rPr>
      </w:pPr>
      <w:r w:rsidRPr="00634F21">
        <w:rPr>
          <w:sz w:val="22"/>
        </w:rPr>
        <w:t>Palm Beach</w:t>
      </w:r>
      <w:r w:rsidR="001D1649" w:rsidRPr="00634F21">
        <w:rPr>
          <w:sz w:val="22"/>
        </w:rPr>
        <w:t xml:space="preserve"> </w:t>
      </w:r>
      <w:r w:rsidR="00193F10" w:rsidRPr="00634F21">
        <w:rPr>
          <w:sz w:val="22"/>
        </w:rPr>
        <w:t>County</w:t>
      </w:r>
      <w:r w:rsidR="001D487F" w:rsidRPr="00634F21">
        <w:rPr>
          <w:sz w:val="22"/>
        </w:rPr>
        <w:t>,</w:t>
      </w:r>
      <w:r w:rsidR="001D487F">
        <w:rPr>
          <w:sz w:val="22"/>
        </w:rPr>
        <w:t xml:space="preserve"> Florida</w:t>
      </w:r>
    </w:p>
    <w:p w:rsidR="00193F10" w:rsidRDefault="00193F10" w:rsidP="00194AA6">
      <w:pPr>
        <w:pStyle w:val="Heading8"/>
        <w:jc w:val="center"/>
      </w:pPr>
      <w:r>
        <w:t>PERMITTING</w:t>
      </w:r>
      <w:r w:rsidR="001D487F">
        <w:t xml:space="preserve"> </w:t>
      </w:r>
      <w:r>
        <w:t>AUTHORITY</w:t>
      </w:r>
    </w:p>
    <w:p w:rsidR="00194AA6" w:rsidRPr="00746205" w:rsidRDefault="00194AA6" w:rsidP="00194AA6">
      <w:pPr>
        <w:widowControl w:val="0"/>
        <w:jc w:val="center"/>
        <w:rPr>
          <w:sz w:val="22"/>
          <w:szCs w:val="22"/>
        </w:rPr>
      </w:pPr>
      <w:r w:rsidRPr="00746205">
        <w:rPr>
          <w:sz w:val="22"/>
          <w:szCs w:val="22"/>
        </w:rPr>
        <w:t>Florida Department of Environmental Protection</w:t>
      </w:r>
    </w:p>
    <w:p w:rsidR="00194AA6" w:rsidRPr="00746205" w:rsidRDefault="00194AA6" w:rsidP="00194AA6">
      <w:pPr>
        <w:widowControl w:val="0"/>
        <w:jc w:val="center"/>
        <w:rPr>
          <w:sz w:val="22"/>
          <w:szCs w:val="22"/>
        </w:rPr>
      </w:pPr>
      <w:r w:rsidRPr="00746205">
        <w:rPr>
          <w:sz w:val="22"/>
          <w:szCs w:val="22"/>
        </w:rPr>
        <w:t>Division of Air Resource Management</w:t>
      </w:r>
    </w:p>
    <w:p w:rsidR="00194AA6" w:rsidRPr="00746205" w:rsidRDefault="00850561" w:rsidP="00194AA6">
      <w:pPr>
        <w:widowControl w:val="0"/>
        <w:jc w:val="center"/>
        <w:rPr>
          <w:sz w:val="22"/>
          <w:szCs w:val="22"/>
        </w:rPr>
      </w:pPr>
      <w:r>
        <w:rPr>
          <w:sz w:val="22"/>
          <w:szCs w:val="22"/>
        </w:rPr>
        <w:t>Office of Permitting and Compliance</w:t>
      </w:r>
    </w:p>
    <w:p w:rsidR="00194AA6" w:rsidRDefault="00194AA6" w:rsidP="00194AA6">
      <w:pPr>
        <w:widowControl w:val="0"/>
        <w:jc w:val="center"/>
        <w:rPr>
          <w:sz w:val="22"/>
          <w:szCs w:val="22"/>
        </w:rPr>
      </w:pPr>
      <w:r>
        <w:rPr>
          <w:sz w:val="22"/>
          <w:szCs w:val="22"/>
        </w:rPr>
        <w:t>2600 Blair Stone Road, MS#5505</w:t>
      </w:r>
    </w:p>
    <w:p w:rsidR="00194AA6" w:rsidRDefault="00194AA6" w:rsidP="00E87561">
      <w:pPr>
        <w:widowControl w:val="0"/>
        <w:spacing w:after="1200"/>
        <w:jc w:val="center"/>
        <w:rPr>
          <w:sz w:val="22"/>
          <w:szCs w:val="22"/>
        </w:rPr>
      </w:pPr>
      <w:smartTag w:uri="urn:schemas-microsoft-com:office:smarttags" w:element="place">
        <w:smartTag w:uri="urn:schemas-microsoft-com:office:smarttags" w:element="City">
          <w:r>
            <w:rPr>
              <w:sz w:val="22"/>
              <w:szCs w:val="22"/>
            </w:rPr>
            <w:t>Tallahassee</w:t>
          </w:r>
        </w:smartTag>
        <w:r>
          <w:rPr>
            <w:sz w:val="22"/>
            <w:szCs w:val="22"/>
          </w:rPr>
          <w:t xml:space="preserve">, </w:t>
        </w:r>
        <w:smartTag w:uri="urn:schemas-microsoft-com:office:smarttags" w:element="State">
          <w:r>
            <w:rPr>
              <w:sz w:val="22"/>
              <w:szCs w:val="22"/>
            </w:rPr>
            <w:t>Florida</w:t>
          </w:r>
        </w:smartTag>
        <w:r>
          <w:rPr>
            <w:sz w:val="22"/>
            <w:szCs w:val="22"/>
          </w:rPr>
          <w:t xml:space="preserve">  </w:t>
        </w:r>
        <w:smartTag w:uri="urn:schemas-microsoft-com:office:smarttags" w:element="PostalCode">
          <w:r>
            <w:rPr>
              <w:sz w:val="22"/>
              <w:szCs w:val="22"/>
            </w:rPr>
            <w:t>32399-2400</w:t>
          </w:r>
        </w:smartTag>
      </w:smartTag>
    </w:p>
    <w:p w:rsidR="00193F10" w:rsidRPr="001D487F" w:rsidRDefault="00CE2D5F" w:rsidP="00194AA6">
      <w:pPr>
        <w:jc w:val="center"/>
        <w:rPr>
          <w:sz w:val="22"/>
        </w:rPr>
      </w:pPr>
      <w:r>
        <w:rPr>
          <w:sz w:val="22"/>
        </w:rPr>
        <w:t>November 13</w:t>
      </w:r>
      <w:r w:rsidR="00A812F5">
        <w:rPr>
          <w:sz w:val="22"/>
        </w:rPr>
        <w:t xml:space="preserve">, </w:t>
      </w:r>
      <w:r w:rsidR="00FC79F2" w:rsidRPr="004413B6">
        <w:rPr>
          <w:sz w:val="22"/>
        </w:rPr>
        <w:t>2014</w:t>
      </w:r>
    </w:p>
    <w:p w:rsidR="00193F10" w:rsidRPr="00D07B72" w:rsidRDefault="00193F10" w:rsidP="00194AA6">
      <w:pPr>
        <w:jc w:val="center"/>
        <w:rPr>
          <w:sz w:val="22"/>
          <w:szCs w:val="22"/>
        </w:rPr>
      </w:pPr>
    </w:p>
    <w:p w:rsidR="00193F10" w:rsidRDefault="00193F10">
      <w:pPr>
        <w:jc w:val="center"/>
        <w:rPr>
          <w:sz w:val="22"/>
        </w:rPr>
        <w:sectPr w:rsidR="00193F10" w:rsidSect="00955781">
          <w:pgSz w:w="12240" w:h="15840" w:code="1"/>
          <w:pgMar w:top="720" w:right="1080" w:bottom="720" w:left="1080" w:header="720" w:footer="720" w:gutter="0"/>
          <w:paperSrc w:first="15" w:other="15"/>
          <w:pgNumType w:start="1"/>
          <w:cols w:space="720"/>
        </w:sectPr>
      </w:pPr>
    </w:p>
    <w:p w:rsidR="00193F10" w:rsidRPr="00E87561" w:rsidRDefault="00193F10" w:rsidP="00A80480">
      <w:pPr>
        <w:pStyle w:val="ListParagraph"/>
        <w:numPr>
          <w:ilvl w:val="0"/>
          <w:numId w:val="12"/>
        </w:numPr>
        <w:spacing w:after="120"/>
        <w:ind w:left="720" w:hanging="720"/>
        <w:contextualSpacing w:val="0"/>
        <w:rPr>
          <w:b/>
          <w:caps/>
          <w:sz w:val="22"/>
        </w:rPr>
      </w:pPr>
      <w:r w:rsidRPr="00E87561">
        <w:rPr>
          <w:b/>
          <w:caps/>
          <w:sz w:val="22"/>
        </w:rPr>
        <w:lastRenderedPageBreak/>
        <w:t>General Project INFORMATION</w:t>
      </w:r>
    </w:p>
    <w:p w:rsidR="00EE6112" w:rsidRPr="00E87561" w:rsidRDefault="00EE6112" w:rsidP="00E87561">
      <w:pPr>
        <w:pStyle w:val="ListParagraph"/>
        <w:numPr>
          <w:ilvl w:val="1"/>
          <w:numId w:val="12"/>
        </w:numPr>
        <w:spacing w:after="120"/>
        <w:ind w:left="720" w:hanging="720"/>
        <w:rPr>
          <w:b/>
          <w:caps/>
          <w:sz w:val="22"/>
          <w:szCs w:val="22"/>
        </w:rPr>
      </w:pPr>
      <w:r w:rsidRPr="00E87561">
        <w:rPr>
          <w:b/>
          <w:bCs/>
          <w:sz w:val="22"/>
          <w:szCs w:val="22"/>
        </w:rPr>
        <w:t>Air Pollution Regulations</w:t>
      </w:r>
    </w:p>
    <w:p w:rsidR="00EE6112" w:rsidRDefault="00EE6112" w:rsidP="00EE6112">
      <w:pPr>
        <w:spacing w:after="120"/>
        <w:rPr>
          <w:sz w:val="22"/>
          <w:szCs w:val="22"/>
        </w:rPr>
      </w:pPr>
      <w:r>
        <w:rPr>
          <w:sz w:val="22"/>
          <w:szCs w:val="22"/>
        </w:rPr>
        <w:t xml:space="preserve">Projects </w:t>
      </w:r>
      <w:r w:rsidR="004D1D9F">
        <w:rPr>
          <w:sz w:val="22"/>
          <w:szCs w:val="22"/>
        </w:rPr>
        <w:t xml:space="preserve">at stationary sources </w:t>
      </w:r>
      <w:r>
        <w:rPr>
          <w:sz w:val="22"/>
          <w:szCs w:val="22"/>
        </w:rPr>
        <w:t xml:space="preserve">with the potential to emit air pollution are </w:t>
      </w:r>
      <w:r w:rsidRPr="000302D6">
        <w:rPr>
          <w:sz w:val="22"/>
          <w:szCs w:val="22"/>
        </w:rPr>
        <w:t>subject to the applicable environmental laws specified in Section 403 of the Florida Statutes (F.S.)</w:t>
      </w:r>
      <w:r>
        <w:rPr>
          <w:sz w:val="22"/>
          <w:szCs w:val="22"/>
        </w:rPr>
        <w:t xml:space="preserve">.  The statutes </w:t>
      </w:r>
      <w:r w:rsidRPr="000302D6">
        <w:rPr>
          <w:sz w:val="22"/>
          <w:szCs w:val="22"/>
        </w:rPr>
        <w:t>authoriz</w:t>
      </w:r>
      <w:r w:rsidR="000C5143">
        <w:rPr>
          <w:sz w:val="22"/>
          <w:szCs w:val="22"/>
        </w:rPr>
        <w:t>e</w:t>
      </w:r>
      <w:r w:rsidRPr="000302D6">
        <w:rPr>
          <w:sz w:val="22"/>
          <w:szCs w:val="22"/>
        </w:rPr>
        <w:t xml:space="preserve"> the Department of Environmental Protection </w:t>
      </w:r>
      <w:r>
        <w:rPr>
          <w:sz w:val="22"/>
          <w:szCs w:val="22"/>
        </w:rPr>
        <w:t xml:space="preserve">(Department) </w:t>
      </w:r>
      <w:r w:rsidRPr="000302D6">
        <w:rPr>
          <w:sz w:val="22"/>
          <w:szCs w:val="22"/>
        </w:rPr>
        <w:t xml:space="preserve">to establish regulations regarding air quality as part of the Florida Administrative Code (F.A.C.), which includes the following </w:t>
      </w:r>
      <w:r w:rsidR="00701FEF">
        <w:rPr>
          <w:sz w:val="22"/>
          <w:szCs w:val="22"/>
        </w:rPr>
        <w:t xml:space="preserve">applicable </w:t>
      </w:r>
      <w:r w:rsidRPr="000302D6">
        <w:rPr>
          <w:sz w:val="22"/>
          <w:szCs w:val="22"/>
        </w:rPr>
        <w:t>chapters:  62-4 (Permits); 62-204 (Air Pollution Control – General Provisions); 62-210 (Stationary Sources – General Requirements); 62-212 (Stationary Sources</w:t>
      </w:r>
      <w:r w:rsidR="00D51D78" w:rsidRPr="000302D6">
        <w:rPr>
          <w:sz w:val="22"/>
          <w:szCs w:val="22"/>
        </w:rPr>
        <w:t xml:space="preserve"> – </w:t>
      </w:r>
      <w:r w:rsidRPr="000302D6">
        <w:rPr>
          <w:sz w:val="22"/>
          <w:szCs w:val="22"/>
        </w:rPr>
        <w:t>Preconstruction Review); 62-213 (Operation Permits for Major Sources of Air Pollution); 62-296 (Stationary Sources - Emission Standards); and 62-297 (Stationary Sources</w:t>
      </w:r>
      <w:r w:rsidR="00D51D78" w:rsidRPr="000302D6">
        <w:rPr>
          <w:sz w:val="22"/>
          <w:szCs w:val="22"/>
        </w:rPr>
        <w:t xml:space="preserve"> – </w:t>
      </w:r>
      <w:r w:rsidRPr="000302D6">
        <w:rPr>
          <w:sz w:val="22"/>
          <w:szCs w:val="22"/>
        </w:rPr>
        <w:t>Emissions Monitoring).</w:t>
      </w:r>
      <w:r>
        <w:rPr>
          <w:sz w:val="22"/>
          <w:szCs w:val="22"/>
        </w:rPr>
        <w:t xml:space="preserve">  Specifically, air construction permits are required pursuant to </w:t>
      </w:r>
      <w:r w:rsidR="009F6095">
        <w:rPr>
          <w:sz w:val="22"/>
          <w:szCs w:val="22"/>
        </w:rPr>
        <w:t>Chapters</w:t>
      </w:r>
      <w:r>
        <w:rPr>
          <w:sz w:val="22"/>
          <w:szCs w:val="22"/>
        </w:rPr>
        <w:t xml:space="preserve"> 62-4, 62-210 and 62-212, F.A.C.</w:t>
      </w:r>
    </w:p>
    <w:p w:rsidR="00EE6112" w:rsidRPr="000302D6" w:rsidRDefault="00EE6112" w:rsidP="00EE6112">
      <w:pPr>
        <w:spacing w:after="120"/>
        <w:rPr>
          <w:sz w:val="22"/>
          <w:szCs w:val="22"/>
        </w:rPr>
      </w:pPr>
      <w:r w:rsidRPr="000302D6">
        <w:rPr>
          <w:sz w:val="22"/>
          <w:szCs w:val="22"/>
        </w:rPr>
        <w:t>In addition, the U. S. Environmental Protection Agency (EPA) establishes air quality regulations in Title 40 of the Code of Federal Regulations</w:t>
      </w:r>
      <w:r>
        <w:rPr>
          <w:sz w:val="22"/>
          <w:szCs w:val="22"/>
        </w:rPr>
        <w:t xml:space="preserve"> (CFR).  </w:t>
      </w:r>
      <w:r w:rsidRPr="000302D6">
        <w:rPr>
          <w:sz w:val="22"/>
          <w:szCs w:val="22"/>
        </w:rPr>
        <w:t xml:space="preserve">Part 60 </w:t>
      </w:r>
      <w:r>
        <w:rPr>
          <w:sz w:val="22"/>
          <w:szCs w:val="22"/>
        </w:rPr>
        <w:t>specifies New Source Performance Standards (</w:t>
      </w:r>
      <w:r w:rsidRPr="000302D6">
        <w:rPr>
          <w:sz w:val="22"/>
          <w:szCs w:val="22"/>
        </w:rPr>
        <w:t>NSPS</w:t>
      </w:r>
      <w:r>
        <w:rPr>
          <w:sz w:val="22"/>
          <w:szCs w:val="22"/>
        </w:rPr>
        <w:t>)</w:t>
      </w:r>
      <w:r w:rsidRPr="000302D6">
        <w:rPr>
          <w:sz w:val="22"/>
          <w:szCs w:val="22"/>
        </w:rPr>
        <w:t xml:space="preserve"> for </w:t>
      </w:r>
      <w:r>
        <w:rPr>
          <w:sz w:val="22"/>
          <w:szCs w:val="22"/>
        </w:rPr>
        <w:t xml:space="preserve">numerous </w:t>
      </w:r>
      <w:r w:rsidRPr="000302D6">
        <w:rPr>
          <w:sz w:val="22"/>
          <w:szCs w:val="22"/>
        </w:rPr>
        <w:t xml:space="preserve">industrial </w:t>
      </w:r>
      <w:r w:rsidR="000E42D3" w:rsidRPr="000302D6">
        <w:rPr>
          <w:sz w:val="22"/>
          <w:szCs w:val="22"/>
        </w:rPr>
        <w:t>categories</w:t>
      </w:r>
      <w:r>
        <w:rPr>
          <w:sz w:val="22"/>
          <w:szCs w:val="22"/>
        </w:rPr>
        <w:t xml:space="preserve">.  </w:t>
      </w:r>
      <w:r w:rsidRPr="000302D6">
        <w:rPr>
          <w:sz w:val="22"/>
          <w:szCs w:val="22"/>
        </w:rPr>
        <w:t>Part 61 specifies National Emission Standards for Hazardous Air Pollutants (NESHAP) based on specific pollutants</w:t>
      </w:r>
      <w:r>
        <w:rPr>
          <w:sz w:val="22"/>
          <w:szCs w:val="22"/>
        </w:rPr>
        <w:t xml:space="preserve">.  </w:t>
      </w:r>
      <w:r w:rsidRPr="000302D6">
        <w:rPr>
          <w:sz w:val="22"/>
          <w:szCs w:val="22"/>
        </w:rPr>
        <w:t xml:space="preserve">Part 63 specifies NESHAP based on the Maximum Achievable Control Technology (MACT) for </w:t>
      </w:r>
      <w:r>
        <w:rPr>
          <w:sz w:val="22"/>
          <w:szCs w:val="22"/>
        </w:rPr>
        <w:t xml:space="preserve">numerous </w:t>
      </w:r>
      <w:r w:rsidRPr="000302D6">
        <w:rPr>
          <w:sz w:val="22"/>
          <w:szCs w:val="22"/>
        </w:rPr>
        <w:t>industrial categories.  The Department adopts these federal regulations in Rule 62-204.800, F.A.C.</w:t>
      </w:r>
    </w:p>
    <w:p w:rsidR="00D262B1" w:rsidRPr="00E87561" w:rsidRDefault="00D262B1" w:rsidP="00E87561">
      <w:pPr>
        <w:pStyle w:val="ListParagraph"/>
        <w:numPr>
          <w:ilvl w:val="1"/>
          <w:numId w:val="12"/>
        </w:numPr>
        <w:spacing w:after="120"/>
        <w:ind w:left="720" w:hanging="720"/>
        <w:rPr>
          <w:b/>
          <w:caps/>
          <w:sz w:val="22"/>
          <w:szCs w:val="22"/>
        </w:rPr>
      </w:pPr>
      <w:r w:rsidRPr="00D262B1">
        <w:rPr>
          <w:b/>
          <w:sz w:val="22"/>
          <w:szCs w:val="22"/>
        </w:rPr>
        <w:t>Glossary of Common Terms</w:t>
      </w:r>
    </w:p>
    <w:p w:rsidR="00D262B1" w:rsidRPr="004D1D9F" w:rsidRDefault="00D262B1" w:rsidP="00D262B1">
      <w:pPr>
        <w:pStyle w:val="BodyText"/>
        <w:numPr>
          <w:ilvl w:val="12"/>
          <w:numId w:val="0"/>
        </w:numPr>
        <w:rPr>
          <w:sz w:val="22"/>
          <w:szCs w:val="22"/>
        </w:rPr>
      </w:pPr>
      <w:r w:rsidRPr="004D1D9F">
        <w:rPr>
          <w:sz w:val="22"/>
          <w:szCs w:val="22"/>
        </w:rPr>
        <w:t>Because of the technical nature of the project, the permit contains numerous acronyms and abbreviations, which are defined in Appendix A of this permit.</w:t>
      </w:r>
    </w:p>
    <w:p w:rsidR="00193F10" w:rsidRPr="00E87561" w:rsidRDefault="00193F10" w:rsidP="00E87561">
      <w:pPr>
        <w:pStyle w:val="ListParagraph"/>
        <w:numPr>
          <w:ilvl w:val="1"/>
          <w:numId w:val="12"/>
        </w:numPr>
        <w:spacing w:after="120"/>
        <w:ind w:left="720" w:hanging="720"/>
        <w:rPr>
          <w:b/>
          <w:caps/>
          <w:sz w:val="22"/>
          <w:szCs w:val="22"/>
        </w:rPr>
      </w:pPr>
      <w:r w:rsidRPr="00E87561">
        <w:rPr>
          <w:b/>
          <w:bCs/>
          <w:sz w:val="22"/>
          <w:szCs w:val="22"/>
        </w:rPr>
        <w:t>Facility Description and Location</w:t>
      </w:r>
    </w:p>
    <w:p w:rsidR="00193F10" w:rsidRDefault="00634F21" w:rsidP="00634F21">
      <w:pPr>
        <w:pStyle w:val="BodyText3"/>
        <w:numPr>
          <w:ilvl w:val="12"/>
          <w:numId w:val="0"/>
        </w:numPr>
        <w:spacing w:before="0"/>
      </w:pPr>
      <w:r>
        <w:rPr>
          <w:szCs w:val="22"/>
        </w:rPr>
        <w:t>T</w:t>
      </w:r>
      <w:r w:rsidRPr="00B85EED">
        <w:rPr>
          <w:szCs w:val="22"/>
        </w:rPr>
        <w:t>he existing Palm Beach Renewable Energy Park (PBREP)</w:t>
      </w:r>
      <w:r>
        <w:rPr>
          <w:szCs w:val="22"/>
        </w:rPr>
        <w:t xml:space="preserve"> </w:t>
      </w:r>
      <w:r w:rsidR="00FC3D22">
        <w:rPr>
          <w:szCs w:val="22"/>
        </w:rPr>
        <w:t>contain</w:t>
      </w:r>
      <w:r w:rsidR="00FC3D22" w:rsidRPr="00B85EED">
        <w:rPr>
          <w:szCs w:val="22"/>
        </w:rPr>
        <w:t xml:space="preserve">s </w:t>
      </w:r>
      <w:r w:rsidRPr="00B85EED">
        <w:rPr>
          <w:szCs w:val="22"/>
        </w:rPr>
        <w:t>a municipal solid waste (MSW) facility categorized under Standard Industrial Classification Number (No.) 4953.</w:t>
      </w:r>
      <w:r>
        <w:rPr>
          <w:szCs w:val="22"/>
        </w:rPr>
        <w:t xml:space="preserve">  </w:t>
      </w:r>
      <w:r w:rsidRPr="00B85EED">
        <w:rPr>
          <w:szCs w:val="22"/>
        </w:rPr>
        <w:t>The existing facility</w:t>
      </w:r>
      <w:r w:rsidR="00FC3D22">
        <w:rPr>
          <w:szCs w:val="22"/>
        </w:rPr>
        <w:t>, known as Palm Beach Renewable Energy Facility No. 1. (PBREF-1)</w:t>
      </w:r>
      <w:r w:rsidRPr="00B85EED">
        <w:rPr>
          <w:szCs w:val="22"/>
        </w:rPr>
        <w:t xml:space="preserve"> is located in Palm Beach County</w:t>
      </w:r>
      <w:r w:rsidR="00901FD9">
        <w:rPr>
          <w:szCs w:val="22"/>
        </w:rPr>
        <w:t xml:space="preserve"> (see </w:t>
      </w:r>
      <w:r w:rsidR="00877FCD" w:rsidRPr="00877FCD">
        <w:rPr>
          <w:rFonts w:ascii="Times New Roman Bold" w:hAnsi="Times New Roman Bold"/>
          <w:b/>
          <w:szCs w:val="22"/>
        </w:rPr>
        <w:fldChar w:fldCharType="begin"/>
      </w:r>
      <w:r w:rsidR="00877FCD" w:rsidRPr="00877FCD">
        <w:rPr>
          <w:rFonts w:ascii="Times New Roman Bold" w:hAnsi="Times New Roman Bold"/>
          <w:b/>
          <w:szCs w:val="22"/>
        </w:rPr>
        <w:instrText xml:space="preserve"> REF _Ref401740650 \h  \* MERGEFORMAT </w:instrText>
      </w:r>
      <w:r w:rsidR="00877FCD" w:rsidRPr="00877FCD">
        <w:rPr>
          <w:rFonts w:ascii="Times New Roman Bold" w:hAnsi="Times New Roman Bold"/>
          <w:b/>
          <w:szCs w:val="22"/>
        </w:rPr>
      </w:r>
      <w:r w:rsidR="00877FCD" w:rsidRPr="00877FCD">
        <w:rPr>
          <w:rFonts w:ascii="Times New Roman Bold" w:hAnsi="Times New Roman Bold"/>
          <w:b/>
          <w:szCs w:val="22"/>
        </w:rPr>
        <w:fldChar w:fldCharType="separate"/>
      </w:r>
      <w:r w:rsidR="00AF1F1C" w:rsidRPr="00AF1F1C">
        <w:rPr>
          <w:rFonts w:ascii="Times New Roman Bold" w:hAnsi="Times New Roman Bold"/>
          <w:b/>
        </w:rPr>
        <w:t xml:space="preserve">Figure </w:t>
      </w:r>
      <w:r w:rsidR="00AF1F1C" w:rsidRPr="00AF1F1C">
        <w:rPr>
          <w:rFonts w:ascii="Times New Roman Bold" w:hAnsi="Times New Roman Bold"/>
          <w:b/>
          <w:noProof/>
        </w:rPr>
        <w:t>1</w:t>
      </w:r>
      <w:r w:rsidR="00877FCD" w:rsidRPr="00877FCD">
        <w:rPr>
          <w:rFonts w:ascii="Times New Roman Bold" w:hAnsi="Times New Roman Bold"/>
          <w:b/>
          <w:szCs w:val="22"/>
        </w:rPr>
        <w:fldChar w:fldCharType="end"/>
      </w:r>
      <w:r w:rsidR="00AF1F1C">
        <w:rPr>
          <w:rFonts w:ascii="Times New Roman Bold" w:hAnsi="Times New Roman Bold"/>
          <w:b/>
          <w:szCs w:val="22"/>
        </w:rPr>
        <w:t>)</w:t>
      </w:r>
      <w:r w:rsidRPr="00B85EED">
        <w:rPr>
          <w:szCs w:val="22"/>
        </w:rPr>
        <w:t xml:space="preserve"> at 7501 North Jog Road in West Palm Beach, Florida</w:t>
      </w:r>
      <w:r w:rsidR="00877FCD">
        <w:rPr>
          <w:szCs w:val="22"/>
        </w:rPr>
        <w:t xml:space="preserve"> (see </w:t>
      </w:r>
      <w:r w:rsidR="00877FCD" w:rsidRPr="00877FCD">
        <w:rPr>
          <w:b/>
          <w:szCs w:val="22"/>
        </w:rPr>
        <w:fldChar w:fldCharType="begin"/>
      </w:r>
      <w:r w:rsidR="00877FCD" w:rsidRPr="00877FCD">
        <w:rPr>
          <w:b/>
          <w:szCs w:val="22"/>
        </w:rPr>
        <w:instrText xml:space="preserve"> REF _Ref401740671 \h  \* MERGEFORMAT </w:instrText>
      </w:r>
      <w:r w:rsidR="00877FCD" w:rsidRPr="00877FCD">
        <w:rPr>
          <w:b/>
          <w:szCs w:val="22"/>
        </w:rPr>
      </w:r>
      <w:r w:rsidR="00877FCD" w:rsidRPr="00877FCD">
        <w:rPr>
          <w:b/>
          <w:szCs w:val="22"/>
        </w:rPr>
        <w:fldChar w:fldCharType="separate"/>
      </w:r>
      <w:r w:rsidR="00AF1F1C" w:rsidRPr="00AF1F1C">
        <w:rPr>
          <w:b/>
        </w:rPr>
        <w:t xml:space="preserve">Figure </w:t>
      </w:r>
      <w:r w:rsidR="00AF1F1C" w:rsidRPr="00AF1F1C">
        <w:rPr>
          <w:b/>
          <w:noProof/>
        </w:rPr>
        <w:t>2</w:t>
      </w:r>
      <w:r w:rsidR="00877FCD" w:rsidRPr="00877FCD">
        <w:rPr>
          <w:b/>
          <w:szCs w:val="22"/>
        </w:rPr>
        <w:fldChar w:fldCharType="end"/>
      </w:r>
      <w:r w:rsidR="00877FCD">
        <w:rPr>
          <w:szCs w:val="22"/>
        </w:rPr>
        <w:t>)</w:t>
      </w:r>
      <w:r w:rsidRPr="00B85EED">
        <w:rPr>
          <w:szCs w:val="22"/>
        </w:rPr>
        <w:t>.</w:t>
      </w:r>
      <w:r>
        <w:t xml:space="preserve"> </w:t>
      </w:r>
      <w:r w:rsidR="00011EAB">
        <w:t xml:space="preserve"> The Palm Beach Renewable Energy Facility No. 2 (PBREF-2) includes three new municipal waste combustors at the PBREP site.  </w:t>
      </w:r>
      <w:r w:rsidRPr="00C57F2A">
        <w:rPr>
          <w:sz w:val="21"/>
          <w:szCs w:val="21"/>
        </w:rPr>
        <w:t xml:space="preserve">The UTM coordinates are Zone 17, 585.3 kilometers (km) </w:t>
      </w:r>
      <w:proofErr w:type="gramStart"/>
      <w:r w:rsidRPr="00C57F2A">
        <w:rPr>
          <w:sz w:val="21"/>
          <w:szCs w:val="21"/>
        </w:rPr>
        <w:t>East</w:t>
      </w:r>
      <w:proofErr w:type="gramEnd"/>
      <w:r w:rsidRPr="00C57F2A">
        <w:rPr>
          <w:sz w:val="21"/>
          <w:szCs w:val="21"/>
        </w:rPr>
        <w:t>, and 2961.7 km North.</w:t>
      </w:r>
      <w:r w:rsidR="00C03584">
        <w:t xml:space="preserve">  A satellite view of the facility where the under construction </w:t>
      </w:r>
      <w:r w:rsidR="00C03584" w:rsidRPr="00C03584">
        <w:t>PBREF-2</w:t>
      </w:r>
      <w:r w:rsidR="00C03584">
        <w:t xml:space="preserve"> is clearly visible is shown in</w:t>
      </w:r>
    </w:p>
    <w:p w:rsidR="00901FD9" w:rsidRDefault="00E273DA" w:rsidP="00901FD9">
      <w:pPr>
        <w:pStyle w:val="BodyText3"/>
        <w:numPr>
          <w:ilvl w:val="12"/>
          <w:numId w:val="0"/>
        </w:numPr>
        <w:tabs>
          <w:tab w:val="left" w:pos="5040"/>
        </w:tabs>
        <w:spacing w:before="0"/>
      </w:pPr>
      <w:r>
        <w:rPr>
          <w:noProof/>
        </w:rPr>
        <mc:AlternateContent>
          <mc:Choice Requires="wps">
            <w:drawing>
              <wp:anchor distT="0" distB="0" distL="114300" distR="114300" simplePos="0" relativeHeight="251666432" behindDoc="0" locked="0" layoutInCell="1" allowOverlap="1">
                <wp:simplePos x="0" y="0"/>
                <wp:positionH relativeFrom="column">
                  <wp:posOffset>515620</wp:posOffset>
                </wp:positionH>
                <wp:positionV relativeFrom="paragraph">
                  <wp:posOffset>1830070</wp:posOffset>
                </wp:positionV>
                <wp:extent cx="1022350" cy="406400"/>
                <wp:effectExtent l="0" t="0" r="0" b="0"/>
                <wp:wrapNone/>
                <wp:docPr id="21" name="Text Box 21"/>
                <wp:cNvGraphicFramePr/>
                <a:graphic xmlns:a="http://schemas.openxmlformats.org/drawingml/2006/main">
                  <a:graphicData uri="http://schemas.microsoft.com/office/word/2010/wordprocessingShape">
                    <wps:wsp>
                      <wps:cNvSpPr txBox="1"/>
                      <wps:spPr>
                        <a:xfrm>
                          <a:off x="0" y="0"/>
                          <a:ext cx="1022350" cy="406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273DA" w:rsidRPr="00E273DA" w:rsidRDefault="00E273DA" w:rsidP="00E273DA">
                            <w:pPr>
                              <w:jc w:val="center"/>
                              <w:rPr>
                                <w:b/>
                                <w:color w:val="C00000"/>
                              </w:rPr>
                            </w:pPr>
                            <w:r>
                              <w:rPr>
                                <w:b/>
                                <w:color w:val="C00000"/>
                              </w:rPr>
                              <w:t>Palm Beach</w:t>
                            </w:r>
                            <w:r>
                              <w:rPr>
                                <w:b/>
                                <w:color w:val="C00000"/>
                              </w:rPr>
                              <w:br/>
                              <w:t>County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21" o:spid="_x0000_s1026" type="#_x0000_t202" style="position:absolute;margin-left:40.6pt;margin-top:144.1pt;width:80.5pt;height:32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" filled="f" stroked="f" strokeweight=".5pt">
                <v:textbox>
                  <w:txbxContent>
                    <w:p w:rsidR="00E273DA" w:rsidRPr="00E273DA" w:rsidRDefault="00E273DA" w:rsidP="00E273DA">
                      <w:pPr>
                        <w:jc w:val="center"/>
                        <w:rPr>
                          <w:b/>
                          <w:color w:val="C00000"/>
                        </w:rPr>
                      </w:pPr>
                      <w:r>
                        <w:rPr>
                          <w:b/>
                          <w:color w:val="C00000"/>
                        </w:rPr>
                        <w:t>Palm Beach</w:t>
                      </w:r>
                      <w:r>
                        <w:rPr>
                          <w:b/>
                          <w:color w:val="C00000"/>
                        </w:rPr>
                        <w:br/>
                        <w:t>County</w:t>
                      </w:r>
                    </w:p>
                  </w:txbxContent>
                </v:textbox>
              </v:shape>
            </w:pict>
          </mc:Fallback>
        </mc:AlternateContent>
      </w:r>
      <w:r>
        <w:rPr>
          <w:noProof/>
        </w:rPr>
        <mc:AlternateContent>
          <mc:Choice Requires="wps">
            <w:drawing>
              <wp:anchor distT="0" distB="0" distL="114300" distR="114300" simplePos="0" relativeHeight="251665408" behindDoc="0" locked="0" layoutInCell="1" allowOverlap="1">
                <wp:simplePos x="0" y="0"/>
                <wp:positionH relativeFrom="column">
                  <wp:posOffset>1315720</wp:posOffset>
                </wp:positionH>
                <wp:positionV relativeFrom="paragraph">
                  <wp:posOffset>2039620</wp:posOffset>
                </wp:positionV>
                <wp:extent cx="1435100" cy="107950"/>
                <wp:effectExtent l="0" t="19050" r="69850" b="101600"/>
                <wp:wrapNone/>
                <wp:docPr id="20" name="Straight Arrow Connector 20"/>
                <wp:cNvGraphicFramePr/>
                <a:graphic xmlns:a="http://schemas.openxmlformats.org/drawingml/2006/main">
                  <a:graphicData uri="http://schemas.microsoft.com/office/word/2010/wordprocessingShape">
                    <wps:wsp>
                      <wps:cNvCnPr/>
                      <wps:spPr>
                        <a:xfrm>
                          <a:off x="0" y="0"/>
                          <a:ext cx="1435100" cy="107950"/>
                        </a:xfrm>
                        <a:prstGeom prst="straightConnector1">
                          <a:avLst/>
                        </a:prstGeom>
                        <a:ln w="19050">
                          <a:solidFill>
                            <a:srgbClr val="C00000"/>
                          </a:solidFill>
                          <a:tailEnd type="triangle" w="lg" len="lg"/>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3010E44" id="_x0000_t32" coordsize="21600,21600" o:spt="32" o:oned="t" path="m,l21600,21600e" filled="f">
                <v:path arrowok="t" fillok="f" o:connecttype="none"/>
                <o:lock v:ext="edit" shapetype="t"/>
              </v:shapetype>
              <v:shape id="Straight Arrow Connector 20" o:spid="_x0000_s1026" type="#_x0000_t32" style="position:absolute;margin-left:103.6pt;margin-top:160.6pt;width:113pt;height:8.5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" strokecolor="#c00000" strokeweight="1.5pt">
                <v:stroke endarrow="block" endarrowwidth="wide" endarrowlength="long"/>
              </v:shape>
            </w:pict>
          </mc:Fallback>
        </mc:AlternateContent>
      </w:r>
      <w:r w:rsidR="00901FD9">
        <w:rPr>
          <w:noProof/>
        </w:rPr>
        <w:drawing>
          <wp:inline distT="0" distB="0" distL="0" distR="0" wp14:anchorId="77FE6ADB" wp14:editId="765642AD">
            <wp:extent cx="3060700" cy="3051590"/>
            <wp:effectExtent l="19050" t="19050" r="25400" b="158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alm_Beach_County_svg.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69469" cy="3060333"/>
                    </a:xfrm>
                    <a:prstGeom prst="rect">
                      <a:avLst/>
                    </a:prstGeom>
                    <a:ln w="19050">
                      <a:solidFill>
                        <a:schemeClr val="tx1"/>
                      </a:solidFill>
                    </a:ln>
                  </pic:spPr>
                </pic:pic>
              </a:graphicData>
            </a:graphic>
          </wp:inline>
        </w:drawing>
      </w:r>
      <w:r w:rsidR="00901FD9">
        <w:rPr>
          <w:noProof/>
        </w:rPr>
        <w:tab/>
      </w:r>
      <w:r w:rsidR="00901FD9" w:rsidRPr="00901FD9">
        <w:rPr>
          <w:noProof/>
        </w:rPr>
        <w:drawing>
          <wp:inline distT="0" distB="0" distL="0" distR="0" wp14:anchorId="6648CF12" wp14:editId="123CD8DB">
            <wp:extent cx="3054350" cy="3071114"/>
            <wp:effectExtent l="19050" t="19050" r="12700" b="152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57334" cy="3074114"/>
                    </a:xfrm>
                    <a:prstGeom prst="rect">
                      <a:avLst/>
                    </a:prstGeom>
                    <a:noFill/>
                    <a:ln w="19050">
                      <a:solidFill>
                        <a:schemeClr val="tx1"/>
                      </a:solidFill>
                    </a:ln>
                  </pic:spPr>
                </pic:pic>
              </a:graphicData>
            </a:graphic>
          </wp:inline>
        </w:drawing>
      </w:r>
    </w:p>
    <w:p w:rsidR="00901FD9" w:rsidRPr="00901FD9" w:rsidRDefault="00901FD9" w:rsidP="00C03584">
      <w:pPr>
        <w:pStyle w:val="Caption"/>
        <w:tabs>
          <w:tab w:val="left" w:pos="5040"/>
        </w:tabs>
        <w:spacing w:before="120"/>
        <w:rPr>
          <w:rFonts w:ascii="Times New Roman Bold" w:hAnsi="Times New Roman Bold"/>
          <w:caps w:val="0"/>
        </w:rPr>
      </w:pPr>
      <w:bookmarkStart w:id="0" w:name="_Ref401740650"/>
      <w:r w:rsidRPr="00901FD9">
        <w:rPr>
          <w:rFonts w:ascii="Times New Roman Bold" w:hAnsi="Times New Roman Bold"/>
          <w:caps w:val="0"/>
        </w:rPr>
        <w:t xml:space="preserve">Figure </w:t>
      </w:r>
      <w:r w:rsidRPr="00901FD9">
        <w:rPr>
          <w:rFonts w:ascii="Times New Roman Bold" w:hAnsi="Times New Roman Bold"/>
          <w:caps w:val="0"/>
        </w:rPr>
        <w:fldChar w:fldCharType="begin"/>
      </w:r>
      <w:r w:rsidRPr="00901FD9">
        <w:rPr>
          <w:rFonts w:ascii="Times New Roman Bold" w:hAnsi="Times New Roman Bold"/>
          <w:caps w:val="0"/>
        </w:rPr>
        <w:instrText xml:space="preserve"> SEQ Figure \* ARABIC </w:instrText>
      </w:r>
      <w:r w:rsidRPr="00901FD9">
        <w:rPr>
          <w:rFonts w:ascii="Times New Roman Bold" w:hAnsi="Times New Roman Bold"/>
          <w:caps w:val="0"/>
        </w:rPr>
        <w:fldChar w:fldCharType="separate"/>
      </w:r>
      <w:r w:rsidR="00AF1F1C">
        <w:rPr>
          <w:rFonts w:ascii="Times New Roman Bold" w:hAnsi="Times New Roman Bold"/>
          <w:caps w:val="0"/>
          <w:noProof/>
        </w:rPr>
        <w:t>1</w:t>
      </w:r>
      <w:r w:rsidRPr="00901FD9">
        <w:rPr>
          <w:rFonts w:ascii="Times New Roman Bold" w:hAnsi="Times New Roman Bold"/>
          <w:caps w:val="0"/>
        </w:rPr>
        <w:fldChar w:fldCharType="end"/>
      </w:r>
      <w:bookmarkEnd w:id="0"/>
      <w:r w:rsidRPr="00901FD9">
        <w:rPr>
          <w:rFonts w:ascii="Times New Roman Bold" w:hAnsi="Times New Roman Bold"/>
          <w:caps w:val="0"/>
        </w:rPr>
        <w:t xml:space="preserve">.  </w:t>
      </w:r>
      <w:r>
        <w:rPr>
          <w:rFonts w:ascii="Times New Roman Bold" w:hAnsi="Times New Roman Bold"/>
          <w:caps w:val="0"/>
        </w:rPr>
        <w:t xml:space="preserve">Location of Palm </w:t>
      </w:r>
      <w:r w:rsidR="00877FCD">
        <w:rPr>
          <w:rFonts w:ascii="Times New Roman Bold" w:hAnsi="Times New Roman Bold"/>
          <w:caps w:val="0"/>
        </w:rPr>
        <w:t>B</w:t>
      </w:r>
      <w:r>
        <w:rPr>
          <w:rFonts w:ascii="Times New Roman Bold" w:hAnsi="Times New Roman Bold"/>
          <w:caps w:val="0"/>
        </w:rPr>
        <w:t>each County.</w:t>
      </w:r>
      <w:r w:rsidR="00877FCD">
        <w:rPr>
          <w:rFonts w:ascii="Times New Roman Bold" w:hAnsi="Times New Roman Bold"/>
          <w:caps w:val="0"/>
        </w:rPr>
        <w:tab/>
      </w:r>
      <w:bookmarkStart w:id="1" w:name="_Ref401740671"/>
      <w:r w:rsidRPr="00901FD9">
        <w:rPr>
          <w:rFonts w:ascii="Times New Roman Bold" w:hAnsi="Times New Roman Bold"/>
          <w:caps w:val="0"/>
        </w:rPr>
        <w:t xml:space="preserve">Figure </w:t>
      </w:r>
      <w:r w:rsidRPr="00901FD9">
        <w:rPr>
          <w:rFonts w:ascii="Times New Roman Bold" w:hAnsi="Times New Roman Bold"/>
          <w:caps w:val="0"/>
        </w:rPr>
        <w:fldChar w:fldCharType="begin"/>
      </w:r>
      <w:r w:rsidRPr="00901FD9">
        <w:rPr>
          <w:rFonts w:ascii="Times New Roman Bold" w:hAnsi="Times New Roman Bold"/>
          <w:caps w:val="0"/>
        </w:rPr>
        <w:instrText xml:space="preserve"> SEQ Figure \* ARABIC </w:instrText>
      </w:r>
      <w:r w:rsidRPr="00901FD9">
        <w:rPr>
          <w:rFonts w:ascii="Times New Roman Bold" w:hAnsi="Times New Roman Bold"/>
          <w:caps w:val="0"/>
        </w:rPr>
        <w:fldChar w:fldCharType="separate"/>
      </w:r>
      <w:r w:rsidR="00AF1F1C">
        <w:rPr>
          <w:rFonts w:ascii="Times New Roman Bold" w:hAnsi="Times New Roman Bold"/>
          <w:caps w:val="0"/>
          <w:noProof/>
        </w:rPr>
        <w:t>2</w:t>
      </w:r>
      <w:r w:rsidRPr="00901FD9">
        <w:rPr>
          <w:rFonts w:ascii="Times New Roman Bold" w:hAnsi="Times New Roman Bold"/>
          <w:caps w:val="0"/>
        </w:rPr>
        <w:fldChar w:fldCharType="end"/>
      </w:r>
      <w:bookmarkEnd w:id="1"/>
      <w:r w:rsidRPr="00901FD9">
        <w:rPr>
          <w:rFonts w:ascii="Times New Roman Bold" w:hAnsi="Times New Roman Bold"/>
          <w:caps w:val="0"/>
        </w:rPr>
        <w:t xml:space="preserve">.  </w:t>
      </w:r>
      <w:r w:rsidR="00877FCD">
        <w:rPr>
          <w:rFonts w:ascii="Times New Roman Bold" w:hAnsi="Times New Roman Bold"/>
          <w:caps w:val="0"/>
        </w:rPr>
        <w:t xml:space="preserve">Location of </w:t>
      </w:r>
      <w:r w:rsidR="00877FCD" w:rsidRPr="00877FCD">
        <w:rPr>
          <w:rFonts w:ascii="Times New Roman Bold" w:hAnsi="Times New Roman Bold"/>
          <w:caps w:val="0"/>
        </w:rPr>
        <w:t>PBREP</w:t>
      </w:r>
      <w:r w:rsidR="00877FCD">
        <w:rPr>
          <w:rFonts w:ascii="Times New Roman Bold" w:hAnsi="Times New Roman Bold"/>
          <w:caps w:val="0"/>
        </w:rPr>
        <w:t xml:space="preserve"> in Palm Beach County.</w:t>
      </w:r>
    </w:p>
    <w:p w:rsidR="00901FD9" w:rsidRDefault="00E273DA" w:rsidP="00C03584">
      <w:pPr>
        <w:pStyle w:val="BodyText3"/>
        <w:numPr>
          <w:ilvl w:val="12"/>
          <w:numId w:val="0"/>
        </w:numPr>
        <w:spacing w:before="0"/>
        <w:jc w:val="center"/>
      </w:pPr>
      <w:r>
        <w:rPr>
          <w:noProof/>
        </w:rPr>
        <w:lastRenderedPageBreak/>
        <mc:AlternateContent>
          <mc:Choice Requires="wps">
            <w:drawing>
              <wp:anchor distT="0" distB="0" distL="114300" distR="114300" simplePos="0" relativeHeight="251664384" behindDoc="0" locked="0" layoutInCell="1" allowOverlap="1" wp14:anchorId="4158852A" wp14:editId="7BF981EF">
                <wp:simplePos x="0" y="0"/>
                <wp:positionH relativeFrom="column">
                  <wp:posOffset>598170</wp:posOffset>
                </wp:positionH>
                <wp:positionV relativeFrom="paragraph">
                  <wp:posOffset>172720</wp:posOffset>
                </wp:positionV>
                <wp:extent cx="984250" cy="285750"/>
                <wp:effectExtent l="0" t="0" r="0" b="0"/>
                <wp:wrapNone/>
                <wp:docPr id="19" name="Text Box 19"/>
                <wp:cNvGraphicFramePr/>
                <a:graphic xmlns:a="http://schemas.openxmlformats.org/drawingml/2006/main">
                  <a:graphicData uri="http://schemas.microsoft.com/office/word/2010/wordprocessingShape">
                    <wps:wsp>
                      <wps:cNvSpPr txBox="1"/>
                      <wps:spPr>
                        <a:xfrm>
                          <a:off x="0" y="0"/>
                          <a:ext cx="984250" cy="285750"/>
                        </a:xfrm>
                        <a:prstGeom prst="rect">
                          <a:avLst/>
                        </a:prstGeom>
                        <a:noFill/>
                        <a:ln w="6350">
                          <a:noFill/>
                        </a:ln>
                        <a:effectLst/>
                      </wps:spPr>
                      <wps:txbx>
                        <w:txbxContent>
                          <w:p w:rsidR="00E273DA" w:rsidRPr="00E273DA" w:rsidRDefault="00E273DA" w:rsidP="00E273DA">
                            <w:pPr>
                              <w:rPr>
                                <w:b/>
                                <w:color w:val="C00000"/>
                                <w:sz w:val="28"/>
                                <w:szCs w:val="28"/>
                              </w:rPr>
                            </w:pPr>
                            <w:r w:rsidRPr="00E273DA">
                              <w:rPr>
                                <w:b/>
                                <w:color w:val="C00000"/>
                                <w:sz w:val="28"/>
                                <w:szCs w:val="28"/>
                              </w:rPr>
                              <w:t>PBREF-</w:t>
                            </w:r>
                            <w:r>
                              <w:rPr>
                                <w:b/>
                                <w:color w:val="C00000"/>
                                <w:sz w:val="28"/>
                                <w:szCs w:val="2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58852A" id="Text Box 19" o:spid="_x0000_s1027" type="#_x0000_t202" style="position:absolute;left:0;text-align:left;margin-left:47.1pt;margin-top:13.6pt;width:77.5pt;height:2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" filled="f" stroked="f" strokeweight=".5pt">
                <v:textbox>
                  <w:txbxContent>
                    <w:p w:rsidR="00E273DA" w:rsidRPr="00E273DA" w:rsidRDefault="00E273DA" w:rsidP="00E273DA">
                      <w:pPr>
                        <w:rPr>
                          <w:b/>
                          <w:color w:val="C00000"/>
                          <w:sz w:val="28"/>
                          <w:szCs w:val="28"/>
                        </w:rPr>
                      </w:pPr>
                      <w:r w:rsidRPr="00E273DA">
                        <w:rPr>
                          <w:b/>
                          <w:color w:val="C00000"/>
                          <w:sz w:val="28"/>
                          <w:szCs w:val="28"/>
                        </w:rPr>
                        <w:t>PBREF-</w:t>
                      </w:r>
                      <w:r>
                        <w:rPr>
                          <w:b/>
                          <w:color w:val="C00000"/>
                          <w:sz w:val="28"/>
                          <w:szCs w:val="28"/>
                        </w:rPr>
                        <w:t>2</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27EBB17F" wp14:editId="18050AB7">
                <wp:simplePos x="0" y="0"/>
                <wp:positionH relativeFrom="column">
                  <wp:posOffset>4579620</wp:posOffset>
                </wp:positionH>
                <wp:positionV relativeFrom="paragraph">
                  <wp:posOffset>375920</wp:posOffset>
                </wp:positionV>
                <wp:extent cx="984250" cy="28575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984250" cy="285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273DA" w:rsidRPr="00E273DA" w:rsidRDefault="00E273DA">
                            <w:pPr>
                              <w:rPr>
                                <w:b/>
                                <w:color w:val="C00000"/>
                                <w:sz w:val="28"/>
                                <w:szCs w:val="28"/>
                              </w:rPr>
                            </w:pPr>
                            <w:r w:rsidRPr="00E273DA">
                              <w:rPr>
                                <w:b/>
                                <w:color w:val="C00000"/>
                                <w:sz w:val="28"/>
                                <w:szCs w:val="28"/>
                              </w:rPr>
                              <w:t>PBREF-1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EBB17F" id="Text Box 18" o:spid="_x0000_s1028" type="#_x0000_t202" style="position:absolute;left:0;text-align:left;margin-left:360.6pt;margin-top:29.6pt;width:77.5pt;height:2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" filled="f" stroked="f" strokeweight=".5pt">
                <v:textbox>
                  <w:txbxContent>
                    <w:p w:rsidR="00E273DA" w:rsidRPr="00E273DA" w:rsidRDefault="00E273DA">
                      <w:pPr>
                        <w:rPr>
                          <w:b/>
                          <w:color w:val="C00000"/>
                          <w:sz w:val="28"/>
                          <w:szCs w:val="28"/>
                        </w:rPr>
                      </w:pPr>
                      <w:r w:rsidRPr="00E273DA">
                        <w:rPr>
                          <w:b/>
                          <w:color w:val="C00000"/>
                          <w:sz w:val="28"/>
                          <w:szCs w:val="28"/>
                        </w:rPr>
                        <w:t>PBREF-1</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1478BD17" wp14:editId="76FACE14">
                <wp:simplePos x="0" y="0"/>
                <wp:positionH relativeFrom="column">
                  <wp:posOffset>1271270</wp:posOffset>
                </wp:positionH>
                <wp:positionV relativeFrom="paragraph">
                  <wp:posOffset>433070</wp:posOffset>
                </wp:positionV>
                <wp:extent cx="1244600" cy="1187450"/>
                <wp:effectExtent l="0" t="0" r="69850" b="50800"/>
                <wp:wrapNone/>
                <wp:docPr id="17" name="Straight Arrow Connector 17"/>
                <wp:cNvGraphicFramePr/>
                <a:graphic xmlns:a="http://schemas.openxmlformats.org/drawingml/2006/main">
                  <a:graphicData uri="http://schemas.microsoft.com/office/word/2010/wordprocessingShape">
                    <wps:wsp>
                      <wps:cNvCnPr/>
                      <wps:spPr>
                        <a:xfrm>
                          <a:off x="0" y="0"/>
                          <a:ext cx="1244600" cy="1187450"/>
                        </a:xfrm>
                        <a:prstGeom prst="straightConnector1">
                          <a:avLst/>
                        </a:prstGeom>
                        <a:noFill/>
                        <a:ln w="22225" cap="flat" cmpd="sng" algn="ctr">
                          <a:solidFill>
                            <a:srgbClr val="C00000"/>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71BA8D45" id="Straight Arrow Connector 17" o:spid="_x0000_s1026" type="#_x0000_t32" style="position:absolute;margin-left:100.1pt;margin-top:34.1pt;width:98pt;height:9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" strokecolor="#c00000" strokeweight="1.75pt">
                <v:stroke endarrow="block" endarrowwidth="wide" endarrowlength="long"/>
              </v:shape>
            </w:pict>
          </mc:Fallback>
        </mc:AlternateContent>
      </w:r>
      <w:r w:rsidR="006B1E2F">
        <w:rPr>
          <w:noProof/>
        </w:rPr>
        <mc:AlternateContent>
          <mc:Choice Requires="wps">
            <w:drawing>
              <wp:anchor distT="0" distB="0" distL="114300" distR="114300" simplePos="0" relativeHeight="251659264" behindDoc="0" locked="0" layoutInCell="1" allowOverlap="1" wp14:anchorId="0EC0D459" wp14:editId="169F1035">
                <wp:simplePos x="0" y="0"/>
                <wp:positionH relativeFrom="column">
                  <wp:posOffset>3944620</wp:posOffset>
                </wp:positionH>
                <wp:positionV relativeFrom="paragraph">
                  <wp:posOffset>636270</wp:posOffset>
                </wp:positionV>
                <wp:extent cx="1022350" cy="1085850"/>
                <wp:effectExtent l="38100" t="0" r="25400" b="57150"/>
                <wp:wrapNone/>
                <wp:docPr id="16" name="Straight Arrow Connector 16"/>
                <wp:cNvGraphicFramePr/>
                <a:graphic xmlns:a="http://schemas.openxmlformats.org/drawingml/2006/main">
                  <a:graphicData uri="http://schemas.microsoft.com/office/word/2010/wordprocessingShape">
                    <wps:wsp>
                      <wps:cNvCnPr/>
                      <wps:spPr>
                        <a:xfrm flipH="1">
                          <a:off x="0" y="0"/>
                          <a:ext cx="1022350" cy="1085850"/>
                        </a:xfrm>
                        <a:prstGeom prst="straightConnector1">
                          <a:avLst/>
                        </a:prstGeom>
                        <a:ln w="22225">
                          <a:solidFill>
                            <a:srgbClr val="C00000"/>
                          </a:solidFill>
                          <a:tailEnd type="triangle"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1EA7780" id="Straight Arrow Connector 16" o:spid="_x0000_s1026" type="#_x0000_t32" style="position:absolute;margin-left:310.6pt;margin-top:50.1pt;width:80.5pt;height:85.5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" strokecolor="#c00000" strokeweight="1.75pt">
                <v:stroke endarrow="block" endarrowwidth="wide" endarrowlength="long"/>
              </v:shape>
            </w:pict>
          </mc:Fallback>
        </mc:AlternateContent>
      </w:r>
      <w:r w:rsidR="00C03584">
        <w:rPr>
          <w:noProof/>
        </w:rPr>
        <w:drawing>
          <wp:inline distT="0" distB="0" distL="0" distR="0">
            <wp:extent cx="6483350" cy="34861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l="-1" r="137" b="9076"/>
                    <a:stretch/>
                  </pic:blipFill>
                  <pic:spPr bwMode="auto">
                    <a:xfrm>
                      <a:off x="0" y="0"/>
                      <a:ext cx="6483350" cy="3486150"/>
                    </a:xfrm>
                    <a:prstGeom prst="rect">
                      <a:avLst/>
                    </a:prstGeom>
                    <a:ln>
                      <a:noFill/>
                    </a:ln>
                    <a:extLst>
                      <a:ext uri="{53640926-AAD7-44D8-BBD7-CCE9431645EC}">
                        <a14:shadowObscured xmlns:a14="http://schemas.microsoft.com/office/drawing/2010/main"/>
                      </a:ext>
                    </a:extLst>
                  </pic:spPr>
                </pic:pic>
              </a:graphicData>
            </a:graphic>
          </wp:inline>
        </w:drawing>
      </w:r>
    </w:p>
    <w:p w:rsidR="00901FD9" w:rsidRPr="006B1E2F" w:rsidRDefault="006B1E2F" w:rsidP="006B1E2F">
      <w:pPr>
        <w:pStyle w:val="Caption"/>
        <w:spacing w:before="120"/>
        <w:jc w:val="center"/>
        <w:rPr>
          <w:rFonts w:ascii="Times New Roman Bold" w:hAnsi="Times New Roman Bold"/>
          <w:caps w:val="0"/>
        </w:rPr>
      </w:pPr>
      <w:r w:rsidRPr="006B1E2F">
        <w:rPr>
          <w:rFonts w:ascii="Times New Roman Bold" w:hAnsi="Times New Roman Bold"/>
          <w:caps w:val="0"/>
        </w:rPr>
        <w:t xml:space="preserve">Figure </w:t>
      </w:r>
      <w:r w:rsidRPr="006B1E2F">
        <w:rPr>
          <w:rFonts w:ascii="Times New Roman Bold" w:hAnsi="Times New Roman Bold"/>
          <w:caps w:val="0"/>
        </w:rPr>
        <w:fldChar w:fldCharType="begin"/>
      </w:r>
      <w:r w:rsidRPr="006B1E2F">
        <w:rPr>
          <w:rFonts w:ascii="Times New Roman Bold" w:hAnsi="Times New Roman Bold"/>
          <w:caps w:val="0"/>
        </w:rPr>
        <w:instrText xml:space="preserve"> SEQ Figure \* ARABIC </w:instrText>
      </w:r>
      <w:r w:rsidRPr="006B1E2F">
        <w:rPr>
          <w:rFonts w:ascii="Times New Roman Bold" w:hAnsi="Times New Roman Bold"/>
          <w:caps w:val="0"/>
        </w:rPr>
        <w:fldChar w:fldCharType="separate"/>
      </w:r>
      <w:r w:rsidR="00AF1F1C">
        <w:rPr>
          <w:rFonts w:ascii="Times New Roman Bold" w:hAnsi="Times New Roman Bold"/>
          <w:caps w:val="0"/>
          <w:noProof/>
        </w:rPr>
        <w:t>3</w:t>
      </w:r>
      <w:r w:rsidRPr="006B1E2F">
        <w:rPr>
          <w:rFonts w:ascii="Times New Roman Bold" w:hAnsi="Times New Roman Bold"/>
          <w:caps w:val="0"/>
        </w:rPr>
        <w:fldChar w:fldCharType="end"/>
      </w:r>
      <w:r w:rsidRPr="006B1E2F">
        <w:rPr>
          <w:rFonts w:ascii="Times New Roman Bold" w:hAnsi="Times New Roman Bold"/>
          <w:caps w:val="0"/>
        </w:rPr>
        <w:t>.</w:t>
      </w:r>
      <w:r>
        <w:rPr>
          <w:rFonts w:ascii="Times New Roman Bold" w:hAnsi="Times New Roman Bold"/>
          <w:caps w:val="0"/>
        </w:rPr>
        <w:t xml:space="preserve"> Satellite View of the </w:t>
      </w:r>
      <w:r w:rsidRPr="006B1E2F">
        <w:rPr>
          <w:rFonts w:ascii="Times New Roman Bold" w:hAnsi="Times New Roman Bold"/>
          <w:caps w:val="0"/>
        </w:rPr>
        <w:t>PBREP</w:t>
      </w:r>
      <w:r>
        <w:rPr>
          <w:rFonts w:ascii="Times New Roman Bold" w:hAnsi="Times New Roman Bold"/>
          <w:caps w:val="0"/>
        </w:rPr>
        <w:t>.</w:t>
      </w:r>
    </w:p>
    <w:p w:rsidR="00C03584" w:rsidRPr="00C03584" w:rsidRDefault="00C03584" w:rsidP="00C03584">
      <w:pPr>
        <w:pStyle w:val="BodyText3"/>
      </w:pPr>
      <w:r w:rsidRPr="00C03584">
        <w:t>This site is in an area that is in attainment (or designated as unclassifiable) for all air pollutants subject to Ambient Air Quality Standards (AAQS).</w:t>
      </w:r>
    </w:p>
    <w:p w:rsidR="00193F10" w:rsidRPr="00E87561" w:rsidRDefault="001C4E37" w:rsidP="00C96AC0">
      <w:pPr>
        <w:pStyle w:val="ListParagraph"/>
        <w:numPr>
          <w:ilvl w:val="1"/>
          <w:numId w:val="12"/>
        </w:numPr>
        <w:spacing w:after="60"/>
        <w:ind w:left="720" w:hanging="720"/>
        <w:contextualSpacing w:val="0"/>
        <w:rPr>
          <w:b/>
          <w:bCs/>
          <w:sz w:val="22"/>
          <w:szCs w:val="22"/>
        </w:rPr>
      </w:pPr>
      <w:r w:rsidRPr="00E87561">
        <w:rPr>
          <w:b/>
          <w:bCs/>
          <w:sz w:val="22"/>
          <w:szCs w:val="22"/>
        </w:rPr>
        <w:t xml:space="preserve">Facility </w:t>
      </w:r>
      <w:r w:rsidR="00193F10" w:rsidRPr="00E87561">
        <w:rPr>
          <w:b/>
          <w:bCs/>
          <w:sz w:val="22"/>
          <w:szCs w:val="22"/>
        </w:rPr>
        <w:t>Regulatory Categories</w:t>
      </w:r>
    </w:p>
    <w:p w:rsidR="00634F21" w:rsidRPr="005221D0" w:rsidRDefault="00634F21" w:rsidP="00C96AC0">
      <w:pPr>
        <w:numPr>
          <w:ilvl w:val="0"/>
          <w:numId w:val="3"/>
        </w:numPr>
        <w:spacing w:after="60"/>
        <w:rPr>
          <w:sz w:val="22"/>
          <w:szCs w:val="22"/>
        </w:rPr>
      </w:pPr>
      <w:r w:rsidRPr="005221D0">
        <w:rPr>
          <w:sz w:val="22"/>
          <w:szCs w:val="22"/>
        </w:rPr>
        <w:t xml:space="preserve">The existing </w:t>
      </w:r>
      <w:r w:rsidR="00FC3D22" w:rsidRPr="005221D0">
        <w:rPr>
          <w:sz w:val="22"/>
          <w:szCs w:val="22"/>
        </w:rPr>
        <w:t>PBRE</w:t>
      </w:r>
      <w:r w:rsidR="00FC3D22">
        <w:rPr>
          <w:sz w:val="22"/>
          <w:szCs w:val="22"/>
        </w:rPr>
        <w:t>F-1</w:t>
      </w:r>
      <w:r w:rsidR="00FC3D22" w:rsidRPr="005221D0">
        <w:rPr>
          <w:sz w:val="22"/>
          <w:szCs w:val="22"/>
        </w:rPr>
        <w:t xml:space="preserve"> </w:t>
      </w:r>
      <w:r w:rsidRPr="005221D0">
        <w:rPr>
          <w:sz w:val="22"/>
          <w:szCs w:val="22"/>
        </w:rPr>
        <w:t>and the new PBREF-2 are major sources of HAP.</w:t>
      </w:r>
    </w:p>
    <w:p w:rsidR="00634F21" w:rsidRPr="005221D0" w:rsidRDefault="00634F21" w:rsidP="00C96AC0">
      <w:pPr>
        <w:numPr>
          <w:ilvl w:val="0"/>
          <w:numId w:val="3"/>
        </w:numPr>
        <w:spacing w:after="60"/>
        <w:rPr>
          <w:sz w:val="22"/>
          <w:szCs w:val="22"/>
        </w:rPr>
      </w:pPr>
      <w:r w:rsidRPr="005221D0">
        <w:rPr>
          <w:sz w:val="22"/>
          <w:szCs w:val="22"/>
        </w:rPr>
        <w:t xml:space="preserve">The existing </w:t>
      </w:r>
      <w:r w:rsidR="00FC3D22" w:rsidRPr="005221D0">
        <w:rPr>
          <w:sz w:val="22"/>
          <w:szCs w:val="22"/>
        </w:rPr>
        <w:t>PBRE</w:t>
      </w:r>
      <w:r w:rsidR="00FC3D22">
        <w:rPr>
          <w:sz w:val="22"/>
          <w:szCs w:val="22"/>
        </w:rPr>
        <w:t>F-1</w:t>
      </w:r>
      <w:r w:rsidRPr="005221D0">
        <w:rPr>
          <w:sz w:val="22"/>
          <w:szCs w:val="22"/>
        </w:rPr>
        <w:t xml:space="preserve"> and the new PBREF-2 are not subject to the acid rain provisions of the Clean Air Act (CAA).</w:t>
      </w:r>
    </w:p>
    <w:p w:rsidR="00634F21" w:rsidRPr="005221D0" w:rsidRDefault="00634F21" w:rsidP="00C96AC0">
      <w:pPr>
        <w:numPr>
          <w:ilvl w:val="0"/>
          <w:numId w:val="3"/>
        </w:numPr>
        <w:spacing w:after="60"/>
        <w:rPr>
          <w:sz w:val="22"/>
          <w:szCs w:val="22"/>
        </w:rPr>
      </w:pPr>
      <w:r w:rsidRPr="00E87561">
        <w:rPr>
          <w:sz w:val="22"/>
          <w:szCs w:val="22"/>
        </w:rPr>
        <w:t xml:space="preserve">The existing </w:t>
      </w:r>
      <w:r w:rsidR="00FC3D22" w:rsidRPr="00E87561">
        <w:rPr>
          <w:sz w:val="22"/>
          <w:szCs w:val="22"/>
        </w:rPr>
        <w:t>PBREF-1</w:t>
      </w:r>
      <w:r w:rsidRPr="00E87561">
        <w:rPr>
          <w:sz w:val="22"/>
          <w:szCs w:val="22"/>
        </w:rPr>
        <w:t xml:space="preserve"> </w:t>
      </w:r>
      <w:r w:rsidR="00E87561" w:rsidRPr="00E87561">
        <w:rPr>
          <w:sz w:val="22"/>
          <w:szCs w:val="22"/>
        </w:rPr>
        <w:t xml:space="preserve">and the new PBREF-2 </w:t>
      </w:r>
      <w:r w:rsidRPr="00E87561">
        <w:rPr>
          <w:sz w:val="22"/>
          <w:szCs w:val="22"/>
        </w:rPr>
        <w:t>is a Title V major source of air pollution in accordance with</w:t>
      </w:r>
      <w:r w:rsidRPr="005221D0">
        <w:rPr>
          <w:sz w:val="22"/>
          <w:szCs w:val="22"/>
        </w:rPr>
        <w:t xml:space="preserve"> Chapter</w:t>
      </w:r>
      <w:r w:rsidRPr="005221D0">
        <w:rPr>
          <w:color w:val="000000"/>
          <w:sz w:val="22"/>
          <w:szCs w:val="22"/>
        </w:rPr>
        <w:t xml:space="preserve"> 62-</w:t>
      </w:r>
      <w:r w:rsidRPr="005221D0">
        <w:rPr>
          <w:sz w:val="22"/>
          <w:szCs w:val="22"/>
        </w:rPr>
        <w:t>213, F.A.C.</w:t>
      </w:r>
    </w:p>
    <w:p w:rsidR="00634F21" w:rsidRPr="005221D0" w:rsidRDefault="00634F21" w:rsidP="00C96AC0">
      <w:pPr>
        <w:numPr>
          <w:ilvl w:val="0"/>
          <w:numId w:val="3"/>
        </w:numPr>
        <w:spacing w:after="60"/>
        <w:rPr>
          <w:sz w:val="22"/>
          <w:szCs w:val="22"/>
        </w:rPr>
      </w:pPr>
      <w:r w:rsidRPr="005221D0">
        <w:rPr>
          <w:sz w:val="22"/>
          <w:szCs w:val="22"/>
        </w:rPr>
        <w:t xml:space="preserve">The existing </w:t>
      </w:r>
      <w:r w:rsidR="00FC3D22" w:rsidRPr="005221D0">
        <w:rPr>
          <w:sz w:val="22"/>
          <w:szCs w:val="22"/>
        </w:rPr>
        <w:t>PBRE</w:t>
      </w:r>
      <w:r w:rsidR="00FC3D22">
        <w:rPr>
          <w:sz w:val="22"/>
          <w:szCs w:val="22"/>
        </w:rPr>
        <w:t>F-1</w:t>
      </w:r>
      <w:r w:rsidRPr="005221D0">
        <w:rPr>
          <w:sz w:val="22"/>
          <w:szCs w:val="22"/>
        </w:rPr>
        <w:t xml:space="preserve"> is a major stationary source in accordance with Rule 62-212.400 (PSD), F.A.C.</w:t>
      </w:r>
    </w:p>
    <w:p w:rsidR="00634F21" w:rsidRDefault="00634F21" w:rsidP="00C96AC0">
      <w:pPr>
        <w:numPr>
          <w:ilvl w:val="0"/>
          <w:numId w:val="3"/>
        </w:numPr>
        <w:spacing w:after="60"/>
        <w:rPr>
          <w:sz w:val="22"/>
          <w:szCs w:val="22"/>
        </w:rPr>
      </w:pPr>
      <w:r w:rsidRPr="005221D0">
        <w:rPr>
          <w:sz w:val="22"/>
          <w:szCs w:val="22"/>
        </w:rPr>
        <w:t>The new PBREF-2 is a modification of a major stationary source in accordance with Rule 62-212.400 (PSD), F.A.C.</w:t>
      </w:r>
    </w:p>
    <w:p w:rsidR="00193F10" w:rsidRPr="00634F21" w:rsidRDefault="00634F21" w:rsidP="00634F21">
      <w:pPr>
        <w:numPr>
          <w:ilvl w:val="0"/>
          <w:numId w:val="3"/>
        </w:numPr>
        <w:spacing w:after="120"/>
        <w:rPr>
          <w:sz w:val="22"/>
          <w:szCs w:val="22"/>
        </w:rPr>
      </w:pPr>
      <w:r w:rsidRPr="00634F21">
        <w:rPr>
          <w:sz w:val="22"/>
          <w:szCs w:val="22"/>
        </w:rPr>
        <w:t>The new PBREF-2</w:t>
      </w:r>
      <w:r w:rsidRPr="00634F21">
        <w:rPr>
          <w:szCs w:val="22"/>
        </w:rPr>
        <w:t xml:space="preserve"> </w:t>
      </w:r>
      <w:r w:rsidRPr="00634F21">
        <w:rPr>
          <w:sz w:val="22"/>
          <w:szCs w:val="22"/>
        </w:rPr>
        <w:t>is subject to New Source Performance Standards (NSPS) under Section 111 of the CAA and National Emissions Standards for Hazardous Air Pollutants (NESHAP) under Section 112 of the CAA which are incorporated by reference in Chapter 62-204.800, F.A.C.</w:t>
      </w:r>
    </w:p>
    <w:p w:rsidR="00634F21" w:rsidRPr="00E87561" w:rsidRDefault="00634F21" w:rsidP="00E87561">
      <w:pPr>
        <w:pStyle w:val="ListParagraph"/>
        <w:numPr>
          <w:ilvl w:val="1"/>
          <w:numId w:val="12"/>
        </w:numPr>
        <w:spacing w:after="120"/>
        <w:ind w:left="720" w:hanging="720"/>
        <w:rPr>
          <w:b/>
          <w:bCs/>
          <w:sz w:val="22"/>
          <w:szCs w:val="22"/>
        </w:rPr>
      </w:pPr>
      <w:r w:rsidRPr="00E87561">
        <w:rPr>
          <w:b/>
          <w:bCs/>
          <w:sz w:val="22"/>
          <w:szCs w:val="22"/>
        </w:rPr>
        <w:t xml:space="preserve">Project Description </w:t>
      </w:r>
    </w:p>
    <w:p w:rsidR="00634F21" w:rsidRDefault="00634F21" w:rsidP="00634F21">
      <w:pPr>
        <w:pStyle w:val="BodyText3"/>
        <w:numPr>
          <w:ilvl w:val="12"/>
          <w:numId w:val="0"/>
        </w:numPr>
        <w:rPr>
          <w:szCs w:val="22"/>
        </w:rPr>
      </w:pPr>
      <w:r w:rsidRPr="000040F2">
        <w:rPr>
          <w:szCs w:val="22"/>
        </w:rPr>
        <w:t xml:space="preserve">The </w:t>
      </w:r>
      <w:r w:rsidR="00DF1C54">
        <w:rPr>
          <w:szCs w:val="22"/>
        </w:rPr>
        <w:t>Solid Waste Authority (SWA) of Palm Beach County</w:t>
      </w:r>
      <w:r w:rsidRPr="000040F2">
        <w:rPr>
          <w:szCs w:val="22"/>
        </w:rPr>
        <w:t xml:space="preserve"> applied on </w:t>
      </w:r>
      <w:r>
        <w:rPr>
          <w:szCs w:val="22"/>
        </w:rPr>
        <w:t>July 11</w:t>
      </w:r>
      <w:r w:rsidRPr="000040F2">
        <w:rPr>
          <w:szCs w:val="22"/>
        </w:rPr>
        <w:t>, 201</w:t>
      </w:r>
      <w:r>
        <w:rPr>
          <w:szCs w:val="22"/>
        </w:rPr>
        <w:t>4</w:t>
      </w:r>
      <w:r w:rsidRPr="000040F2">
        <w:rPr>
          <w:szCs w:val="22"/>
        </w:rPr>
        <w:t xml:space="preserve">, to the Department for a minor source air construction </w:t>
      </w:r>
      <w:r>
        <w:rPr>
          <w:szCs w:val="22"/>
        </w:rPr>
        <w:t xml:space="preserve">(AC) </w:t>
      </w:r>
      <w:r w:rsidRPr="000040F2">
        <w:rPr>
          <w:szCs w:val="22"/>
        </w:rPr>
        <w:t xml:space="preserve">permit.  </w:t>
      </w:r>
      <w:r>
        <w:rPr>
          <w:szCs w:val="22"/>
        </w:rPr>
        <w:t xml:space="preserve">The applicant then modified the application with a revised submission on July 25, 2014. </w:t>
      </w:r>
      <w:r w:rsidRPr="000040F2">
        <w:rPr>
          <w:szCs w:val="22"/>
        </w:rPr>
        <w:t xml:space="preserve">The minor source </w:t>
      </w:r>
      <w:r>
        <w:rPr>
          <w:szCs w:val="22"/>
        </w:rPr>
        <w:t>AC</w:t>
      </w:r>
      <w:r w:rsidRPr="000040F2">
        <w:rPr>
          <w:szCs w:val="22"/>
        </w:rPr>
        <w:t xml:space="preserve"> permit is for revisions to the previously issued AC/Prevention of Significant Deterioration (PSD) permits, Permit </w:t>
      </w:r>
      <w:r>
        <w:rPr>
          <w:szCs w:val="22"/>
        </w:rPr>
        <w:t xml:space="preserve">Nos. 0990234-017-AC/PSD-FL-413, </w:t>
      </w:r>
      <w:r w:rsidRPr="000040F2">
        <w:rPr>
          <w:szCs w:val="22"/>
        </w:rPr>
        <w:t>0990234-023-AC/PSD-FL-413A (Project)</w:t>
      </w:r>
      <w:r>
        <w:rPr>
          <w:szCs w:val="22"/>
        </w:rPr>
        <w:t xml:space="preserve">, and </w:t>
      </w:r>
      <w:r w:rsidRPr="000040F2">
        <w:rPr>
          <w:szCs w:val="22"/>
        </w:rPr>
        <w:t>0990234-02</w:t>
      </w:r>
      <w:r>
        <w:rPr>
          <w:szCs w:val="22"/>
        </w:rPr>
        <w:t>8</w:t>
      </w:r>
      <w:r w:rsidRPr="000040F2">
        <w:rPr>
          <w:szCs w:val="22"/>
        </w:rPr>
        <w:t>-AC/PSD-FL-413</w:t>
      </w:r>
      <w:r>
        <w:rPr>
          <w:szCs w:val="22"/>
        </w:rPr>
        <w:t>B</w:t>
      </w:r>
      <w:r w:rsidRPr="000040F2">
        <w:rPr>
          <w:szCs w:val="22"/>
        </w:rPr>
        <w:t>.</w:t>
      </w:r>
    </w:p>
    <w:p w:rsidR="00634F21" w:rsidRDefault="00634F21" w:rsidP="00634F21">
      <w:pPr>
        <w:pStyle w:val="BodyText3"/>
        <w:numPr>
          <w:ilvl w:val="12"/>
          <w:numId w:val="0"/>
        </w:numPr>
        <w:rPr>
          <w:szCs w:val="22"/>
        </w:rPr>
      </w:pPr>
      <w:r>
        <w:rPr>
          <w:szCs w:val="22"/>
        </w:rPr>
        <w:t xml:space="preserve">In the July 11, 2014, application, the applicant requested that the air construction permit be modified to authorize additional </w:t>
      </w:r>
      <w:r w:rsidR="004413B6">
        <w:rPr>
          <w:szCs w:val="22"/>
        </w:rPr>
        <w:t xml:space="preserve">wastes </w:t>
      </w:r>
      <w:r>
        <w:rPr>
          <w:szCs w:val="22"/>
        </w:rPr>
        <w:t>for combustion at the facility, including materials for witnessed destruction</w:t>
      </w:r>
      <w:r w:rsidR="004413B6">
        <w:rPr>
          <w:szCs w:val="22"/>
        </w:rPr>
        <w:t xml:space="preserve"> (such as expired or off-specification consumer goods and pharmaceuticals)</w:t>
      </w:r>
      <w:r>
        <w:rPr>
          <w:szCs w:val="22"/>
        </w:rPr>
        <w:t xml:space="preserve">, biosolids, livestock waste, waste processing residue from ethanol production, waste gasification process residue, combustible residue from recycling of construction and </w:t>
      </w:r>
      <w:r>
        <w:rPr>
          <w:szCs w:val="22"/>
        </w:rPr>
        <w:lastRenderedPageBreak/>
        <w:t xml:space="preserve">demolition debris, residue from processing MSW to make refuse-derived fuel, residue from processing recovered materials, and residue from processing recyclable materials.  The applicant also requested that the limit on the proportion of non-MSW </w:t>
      </w:r>
      <w:r w:rsidR="004413B6">
        <w:rPr>
          <w:szCs w:val="22"/>
        </w:rPr>
        <w:t xml:space="preserve">in segregated loads </w:t>
      </w:r>
      <w:r>
        <w:rPr>
          <w:szCs w:val="22"/>
        </w:rPr>
        <w:t>to be combusted at the facility be raised from 5% to 20% by weight.  In the July 25, 2014, addendum to the application, the applicant requested small changes to emissions testing procedures and requirements and clarification regarding emissions testing requirements.</w:t>
      </w:r>
    </w:p>
    <w:p w:rsidR="001C4E37" w:rsidRPr="00E87561" w:rsidRDefault="001C4E37" w:rsidP="00E87561">
      <w:pPr>
        <w:pStyle w:val="ListParagraph"/>
        <w:numPr>
          <w:ilvl w:val="1"/>
          <w:numId w:val="12"/>
        </w:numPr>
        <w:spacing w:after="120"/>
        <w:ind w:left="720" w:hanging="720"/>
        <w:rPr>
          <w:b/>
          <w:bCs/>
          <w:sz w:val="22"/>
          <w:szCs w:val="22"/>
        </w:rPr>
      </w:pPr>
      <w:r w:rsidRPr="00E87561">
        <w:rPr>
          <w:b/>
          <w:bCs/>
          <w:sz w:val="22"/>
          <w:szCs w:val="22"/>
        </w:rPr>
        <w:t>Processing Schedule</w:t>
      </w:r>
    </w:p>
    <w:p w:rsidR="001C4E37" w:rsidRPr="00E87561" w:rsidRDefault="00362109" w:rsidP="00C96AC0">
      <w:pPr>
        <w:numPr>
          <w:ilvl w:val="0"/>
          <w:numId w:val="3"/>
        </w:numPr>
        <w:spacing w:after="60"/>
        <w:rPr>
          <w:sz w:val="22"/>
          <w:szCs w:val="22"/>
        </w:rPr>
      </w:pPr>
      <w:r w:rsidRPr="00E87561">
        <w:rPr>
          <w:sz w:val="22"/>
          <w:szCs w:val="22"/>
        </w:rPr>
        <w:t>7/11/2014</w:t>
      </w:r>
      <w:r w:rsidR="001C4E37" w:rsidRPr="00E87561">
        <w:rPr>
          <w:sz w:val="22"/>
          <w:szCs w:val="22"/>
        </w:rPr>
        <w:tab/>
        <w:t>Received the application for a minor source air pollution construction permit.</w:t>
      </w:r>
    </w:p>
    <w:p w:rsidR="001C4E37" w:rsidRDefault="00362109" w:rsidP="00A80480">
      <w:pPr>
        <w:numPr>
          <w:ilvl w:val="0"/>
          <w:numId w:val="3"/>
        </w:numPr>
        <w:spacing w:after="120"/>
        <w:rPr>
          <w:sz w:val="22"/>
          <w:szCs w:val="22"/>
        </w:rPr>
      </w:pPr>
      <w:r w:rsidRPr="00E87561">
        <w:rPr>
          <w:sz w:val="22"/>
          <w:szCs w:val="22"/>
        </w:rPr>
        <w:t>7/25/2014</w:t>
      </w:r>
      <w:r w:rsidR="001C4E37" w:rsidRPr="00E87561">
        <w:rPr>
          <w:sz w:val="22"/>
          <w:szCs w:val="22"/>
        </w:rPr>
        <w:tab/>
      </w:r>
      <w:r w:rsidR="001D1649" w:rsidRPr="00E87561">
        <w:rPr>
          <w:sz w:val="22"/>
          <w:szCs w:val="22"/>
        </w:rPr>
        <w:t>R</w:t>
      </w:r>
      <w:r w:rsidR="001C4E37" w:rsidRPr="00E87561">
        <w:rPr>
          <w:sz w:val="22"/>
          <w:szCs w:val="22"/>
        </w:rPr>
        <w:t>e</w:t>
      </w:r>
      <w:r w:rsidRPr="00E87561">
        <w:rPr>
          <w:sz w:val="22"/>
          <w:szCs w:val="22"/>
        </w:rPr>
        <w:t>ceived</w:t>
      </w:r>
      <w:r w:rsidR="001C4E37" w:rsidRPr="00E87561">
        <w:rPr>
          <w:sz w:val="22"/>
          <w:szCs w:val="22"/>
        </w:rPr>
        <w:t xml:space="preserve"> additional information</w:t>
      </w:r>
      <w:r w:rsidRPr="00E87561">
        <w:rPr>
          <w:sz w:val="22"/>
          <w:szCs w:val="22"/>
        </w:rPr>
        <w:t>; application complete</w:t>
      </w:r>
      <w:r w:rsidR="001C4E37" w:rsidRPr="00E87561">
        <w:rPr>
          <w:sz w:val="22"/>
          <w:szCs w:val="22"/>
        </w:rPr>
        <w:t>.</w:t>
      </w:r>
    </w:p>
    <w:p w:rsidR="004D07D0" w:rsidRPr="00E87561" w:rsidRDefault="00CE2D5F" w:rsidP="00A80480">
      <w:pPr>
        <w:numPr>
          <w:ilvl w:val="0"/>
          <w:numId w:val="3"/>
        </w:numPr>
        <w:spacing w:after="120"/>
        <w:rPr>
          <w:sz w:val="22"/>
          <w:szCs w:val="22"/>
        </w:rPr>
      </w:pPr>
      <w:r>
        <w:rPr>
          <w:sz w:val="22"/>
          <w:szCs w:val="22"/>
        </w:rPr>
        <w:t>11/13</w:t>
      </w:r>
      <w:bookmarkStart w:id="2" w:name="_GoBack"/>
      <w:bookmarkEnd w:id="2"/>
      <w:r w:rsidR="004D07D0">
        <w:rPr>
          <w:sz w:val="22"/>
          <w:szCs w:val="22"/>
        </w:rPr>
        <w:t>/2014</w:t>
      </w:r>
      <w:r w:rsidR="004D07D0">
        <w:rPr>
          <w:sz w:val="22"/>
          <w:szCs w:val="22"/>
        </w:rPr>
        <w:tab/>
        <w:t>Issued draft permit package.</w:t>
      </w:r>
    </w:p>
    <w:p w:rsidR="00193F10" w:rsidRDefault="00D51D78" w:rsidP="00A80480">
      <w:pPr>
        <w:pStyle w:val="ListParagraph"/>
        <w:numPr>
          <w:ilvl w:val="0"/>
          <w:numId w:val="12"/>
        </w:numPr>
        <w:spacing w:after="120"/>
        <w:ind w:left="720" w:hanging="720"/>
        <w:contextualSpacing w:val="0"/>
        <w:rPr>
          <w:b/>
          <w:caps/>
          <w:sz w:val="22"/>
        </w:rPr>
      </w:pPr>
      <w:r>
        <w:rPr>
          <w:b/>
          <w:caps/>
          <w:sz w:val="22"/>
        </w:rPr>
        <w:t>PSD Applicability</w:t>
      </w:r>
    </w:p>
    <w:p w:rsidR="00D51D78" w:rsidRPr="00A80480" w:rsidRDefault="00D51D78" w:rsidP="00A80480">
      <w:pPr>
        <w:pStyle w:val="ListParagraph"/>
        <w:numPr>
          <w:ilvl w:val="1"/>
          <w:numId w:val="12"/>
        </w:numPr>
        <w:spacing w:after="120"/>
        <w:ind w:left="720" w:hanging="720"/>
        <w:contextualSpacing w:val="0"/>
        <w:rPr>
          <w:b/>
          <w:caps/>
          <w:sz w:val="22"/>
        </w:rPr>
      </w:pPr>
      <w:r w:rsidRPr="00193F10">
        <w:rPr>
          <w:b/>
          <w:sz w:val="22"/>
        </w:rPr>
        <w:t xml:space="preserve">General </w:t>
      </w:r>
      <w:r>
        <w:rPr>
          <w:b/>
          <w:sz w:val="22"/>
        </w:rPr>
        <w:t xml:space="preserve">PSD </w:t>
      </w:r>
      <w:r w:rsidRPr="00193F10">
        <w:rPr>
          <w:b/>
          <w:sz w:val="22"/>
        </w:rPr>
        <w:t>Applicability</w:t>
      </w:r>
    </w:p>
    <w:p w:rsidR="00A707D8" w:rsidRPr="007901D6" w:rsidRDefault="00A707D8" w:rsidP="00A707D8">
      <w:pPr>
        <w:widowControl w:val="0"/>
        <w:spacing w:after="120"/>
        <w:rPr>
          <w:rFonts w:eastAsia="Calibri"/>
          <w:sz w:val="22"/>
          <w:szCs w:val="22"/>
        </w:rPr>
      </w:pPr>
      <w:r w:rsidRPr="007901D6">
        <w:rPr>
          <w:rFonts w:eastAsia="Calibri"/>
          <w:sz w:val="22"/>
          <w:szCs w:val="22"/>
        </w:rPr>
        <w:t xml:space="preserve">The Department regulates major stationary sources in accordance with Florida’s PSD program pursuant to Rule 62-212.400, F.A.C.  PSD preconstruction review is required in areas that are currently in attainment with the state and federal ambient air quality standards (AAQS) or areas designated as “unclassifiable” for these regulated pollutants.  </w:t>
      </w:r>
      <w:r w:rsidRPr="007901D6">
        <w:rPr>
          <w:sz w:val="22"/>
          <w:szCs w:val="22"/>
        </w:rPr>
        <w:t xml:space="preserve">The project is located in </w:t>
      </w:r>
      <w:r w:rsidR="00FC3D22">
        <w:rPr>
          <w:sz w:val="22"/>
          <w:szCs w:val="22"/>
        </w:rPr>
        <w:t xml:space="preserve">Palm Beach </w:t>
      </w:r>
      <w:r w:rsidRPr="007901D6">
        <w:rPr>
          <w:sz w:val="22"/>
          <w:szCs w:val="22"/>
        </w:rPr>
        <w:t xml:space="preserve">County, which is in an area that is currently in attainment with the state and federal AAQS or otherwise designated as unclassifiable.  </w:t>
      </w:r>
    </w:p>
    <w:p w:rsidR="00A707D8" w:rsidRDefault="00A707D8" w:rsidP="00A707D8">
      <w:pPr>
        <w:widowControl w:val="0"/>
        <w:spacing w:after="120"/>
        <w:rPr>
          <w:rFonts w:eastAsia="Calibri"/>
          <w:sz w:val="22"/>
          <w:szCs w:val="22"/>
        </w:rPr>
      </w:pPr>
      <w:r>
        <w:rPr>
          <w:rFonts w:eastAsia="Calibri"/>
          <w:sz w:val="22"/>
          <w:szCs w:val="22"/>
        </w:rPr>
        <w:t>The key requirement of a PSD review include:  employment of Best Available Control Technology; a demonstration that the project will not cause or contribute to a violation of a state of federal AAQS or increment; and a demonstration that the project will not cause adverse impacts to Air Quality Related Values (AQRVs) such as visibility, soils and vegetation.</w:t>
      </w:r>
    </w:p>
    <w:p w:rsidR="00A707D8" w:rsidRDefault="00A707D8" w:rsidP="00A707D8">
      <w:pPr>
        <w:widowControl w:val="0"/>
        <w:spacing w:after="120"/>
        <w:rPr>
          <w:rFonts w:eastAsia="Calibri"/>
          <w:sz w:val="22"/>
          <w:szCs w:val="22"/>
        </w:rPr>
      </w:pPr>
      <w:r w:rsidRPr="007901D6">
        <w:rPr>
          <w:rFonts w:eastAsia="Calibri"/>
          <w:sz w:val="22"/>
          <w:szCs w:val="22"/>
        </w:rPr>
        <w:t xml:space="preserve">Commonly addressed PSD pollutants include: </w:t>
      </w:r>
      <w:r w:rsidR="00C96AC0">
        <w:rPr>
          <w:rFonts w:eastAsia="Calibri"/>
          <w:sz w:val="22"/>
          <w:szCs w:val="22"/>
        </w:rPr>
        <w:t xml:space="preserve"> carbon monoxide (</w:t>
      </w:r>
      <w:r w:rsidRPr="007901D6">
        <w:rPr>
          <w:rFonts w:eastAsia="Calibri"/>
          <w:sz w:val="22"/>
          <w:szCs w:val="22"/>
        </w:rPr>
        <w:t>CO</w:t>
      </w:r>
      <w:r w:rsidR="00C96AC0">
        <w:rPr>
          <w:rFonts w:eastAsia="Calibri"/>
          <w:sz w:val="22"/>
          <w:szCs w:val="22"/>
        </w:rPr>
        <w:t>)</w:t>
      </w:r>
      <w:r w:rsidRPr="007901D6">
        <w:rPr>
          <w:rFonts w:eastAsia="Calibri"/>
          <w:sz w:val="22"/>
          <w:szCs w:val="22"/>
        </w:rPr>
        <w:t>,</w:t>
      </w:r>
      <w:r w:rsidR="00C96AC0">
        <w:rPr>
          <w:rFonts w:eastAsia="Calibri"/>
          <w:sz w:val="22"/>
          <w:szCs w:val="22"/>
        </w:rPr>
        <w:t xml:space="preserve"> nitrogen oxides (</w:t>
      </w:r>
      <w:r w:rsidRPr="007901D6">
        <w:rPr>
          <w:rFonts w:eastAsia="Calibri"/>
          <w:sz w:val="22"/>
          <w:szCs w:val="22"/>
        </w:rPr>
        <w:t>NO</w:t>
      </w:r>
      <w:r w:rsidRPr="007901D6">
        <w:rPr>
          <w:rFonts w:eastAsia="Calibri"/>
          <w:sz w:val="22"/>
          <w:szCs w:val="22"/>
          <w:vertAlign w:val="subscript"/>
        </w:rPr>
        <w:t>X</w:t>
      </w:r>
      <w:r w:rsidR="00C96AC0">
        <w:rPr>
          <w:rFonts w:eastAsia="Calibri"/>
          <w:sz w:val="22"/>
          <w:szCs w:val="22"/>
        </w:rPr>
        <w:t>)</w:t>
      </w:r>
      <w:r w:rsidRPr="007901D6">
        <w:rPr>
          <w:rFonts w:eastAsia="Calibri"/>
          <w:sz w:val="22"/>
          <w:szCs w:val="22"/>
        </w:rPr>
        <w:t xml:space="preserve">, </w:t>
      </w:r>
      <w:r w:rsidR="00C96AC0">
        <w:rPr>
          <w:rFonts w:eastAsia="Calibri"/>
          <w:sz w:val="22"/>
          <w:szCs w:val="22"/>
        </w:rPr>
        <w:t>particulate matter (</w:t>
      </w:r>
      <w:r w:rsidRPr="007901D6">
        <w:rPr>
          <w:rFonts w:eastAsia="Calibri"/>
          <w:sz w:val="22"/>
          <w:szCs w:val="22"/>
        </w:rPr>
        <w:t>PM</w:t>
      </w:r>
      <w:r w:rsidR="00C96AC0">
        <w:rPr>
          <w:rFonts w:eastAsia="Calibri"/>
          <w:sz w:val="22"/>
          <w:szCs w:val="22"/>
        </w:rPr>
        <w:t>)</w:t>
      </w:r>
      <w:r w:rsidRPr="007901D6">
        <w:rPr>
          <w:rFonts w:eastAsia="Calibri"/>
          <w:sz w:val="22"/>
          <w:szCs w:val="22"/>
        </w:rPr>
        <w:t xml:space="preserve">, </w:t>
      </w:r>
      <w:r w:rsidR="00C96AC0">
        <w:rPr>
          <w:rFonts w:eastAsia="Calibri"/>
          <w:sz w:val="22"/>
          <w:szCs w:val="22"/>
        </w:rPr>
        <w:t>PM with a mean diameter of 10 micron or less (</w:t>
      </w:r>
      <w:r w:rsidRPr="007901D6">
        <w:rPr>
          <w:rFonts w:eastAsia="Calibri"/>
          <w:sz w:val="22"/>
          <w:szCs w:val="22"/>
        </w:rPr>
        <w:t>PM</w:t>
      </w:r>
      <w:r w:rsidRPr="007901D6">
        <w:rPr>
          <w:rFonts w:eastAsia="Calibri"/>
          <w:sz w:val="22"/>
          <w:szCs w:val="22"/>
          <w:vertAlign w:val="subscript"/>
        </w:rPr>
        <w:t>10</w:t>
      </w:r>
      <w:r w:rsidR="00C96AC0">
        <w:rPr>
          <w:rFonts w:eastAsia="Calibri"/>
          <w:sz w:val="22"/>
          <w:szCs w:val="22"/>
        </w:rPr>
        <w:t>)</w:t>
      </w:r>
      <w:r w:rsidRPr="007901D6">
        <w:rPr>
          <w:rFonts w:eastAsia="Calibri"/>
          <w:sz w:val="22"/>
          <w:szCs w:val="22"/>
        </w:rPr>
        <w:t xml:space="preserve">, </w:t>
      </w:r>
      <w:r w:rsidR="00C96AC0">
        <w:rPr>
          <w:rFonts w:eastAsia="Calibri"/>
          <w:sz w:val="22"/>
          <w:szCs w:val="22"/>
        </w:rPr>
        <w:t>PM with a mean diameter of 2.5 microns or less (</w:t>
      </w:r>
      <w:r w:rsidRPr="007901D6">
        <w:rPr>
          <w:rFonts w:eastAsia="Calibri"/>
          <w:sz w:val="22"/>
          <w:szCs w:val="22"/>
        </w:rPr>
        <w:t>PM</w:t>
      </w:r>
      <w:r w:rsidRPr="007901D6">
        <w:rPr>
          <w:rFonts w:eastAsia="Calibri"/>
          <w:sz w:val="22"/>
          <w:szCs w:val="22"/>
          <w:vertAlign w:val="subscript"/>
        </w:rPr>
        <w:t>2.5</w:t>
      </w:r>
      <w:r w:rsidR="00C96AC0">
        <w:rPr>
          <w:rFonts w:eastAsia="Calibri"/>
          <w:sz w:val="22"/>
          <w:szCs w:val="22"/>
        </w:rPr>
        <w:t>)</w:t>
      </w:r>
      <w:r w:rsidRPr="007901D6">
        <w:rPr>
          <w:rFonts w:eastAsia="Calibri"/>
          <w:sz w:val="22"/>
          <w:szCs w:val="22"/>
        </w:rPr>
        <w:t xml:space="preserve">, </w:t>
      </w:r>
      <w:r w:rsidR="00C96AC0">
        <w:rPr>
          <w:rFonts w:eastAsia="Calibri"/>
          <w:sz w:val="22"/>
          <w:szCs w:val="22"/>
        </w:rPr>
        <w:t>sulfur dioxide (</w:t>
      </w:r>
      <w:r w:rsidRPr="007901D6">
        <w:rPr>
          <w:rFonts w:eastAsia="Calibri"/>
          <w:sz w:val="22"/>
          <w:szCs w:val="22"/>
        </w:rPr>
        <w:t>SO</w:t>
      </w:r>
      <w:r w:rsidRPr="007901D6">
        <w:rPr>
          <w:rFonts w:eastAsia="Calibri"/>
          <w:sz w:val="22"/>
          <w:szCs w:val="22"/>
          <w:vertAlign w:val="subscript"/>
        </w:rPr>
        <w:t>2</w:t>
      </w:r>
      <w:r w:rsidR="00C96AC0">
        <w:rPr>
          <w:rFonts w:eastAsia="Calibri"/>
          <w:sz w:val="22"/>
          <w:szCs w:val="22"/>
        </w:rPr>
        <w:t>)</w:t>
      </w:r>
      <w:r w:rsidRPr="007901D6">
        <w:rPr>
          <w:rFonts w:eastAsia="Calibri"/>
          <w:sz w:val="22"/>
          <w:szCs w:val="22"/>
        </w:rPr>
        <w:t xml:space="preserve">, </w:t>
      </w:r>
      <w:r w:rsidR="00C96AC0">
        <w:rPr>
          <w:rFonts w:eastAsia="Calibri"/>
          <w:sz w:val="22"/>
          <w:szCs w:val="22"/>
        </w:rPr>
        <w:t>volatile organic compounds (</w:t>
      </w:r>
      <w:r w:rsidRPr="007901D6">
        <w:rPr>
          <w:rFonts w:eastAsia="Calibri"/>
          <w:sz w:val="22"/>
          <w:szCs w:val="22"/>
        </w:rPr>
        <w:t>VOC</w:t>
      </w:r>
      <w:r w:rsidR="00C96AC0">
        <w:rPr>
          <w:rFonts w:eastAsia="Calibri"/>
          <w:sz w:val="22"/>
          <w:szCs w:val="22"/>
        </w:rPr>
        <w:t>)</w:t>
      </w:r>
      <w:r w:rsidRPr="007901D6">
        <w:rPr>
          <w:rFonts w:eastAsia="Calibri"/>
          <w:sz w:val="22"/>
          <w:szCs w:val="22"/>
        </w:rPr>
        <w:t xml:space="preserve">, </w:t>
      </w:r>
      <w:r w:rsidR="00C96AC0">
        <w:rPr>
          <w:rFonts w:eastAsia="Calibri"/>
          <w:sz w:val="22"/>
          <w:szCs w:val="22"/>
        </w:rPr>
        <w:t>sulfuric acid mist (</w:t>
      </w:r>
      <w:r w:rsidRPr="007901D6">
        <w:rPr>
          <w:rFonts w:eastAsia="Calibri"/>
          <w:sz w:val="22"/>
          <w:szCs w:val="22"/>
        </w:rPr>
        <w:t>SAM</w:t>
      </w:r>
      <w:r w:rsidR="00C96AC0">
        <w:rPr>
          <w:rFonts w:eastAsia="Calibri"/>
          <w:sz w:val="22"/>
          <w:szCs w:val="22"/>
        </w:rPr>
        <w:t>)</w:t>
      </w:r>
      <w:r w:rsidRPr="007901D6">
        <w:rPr>
          <w:rFonts w:eastAsia="Calibri"/>
          <w:sz w:val="22"/>
          <w:szCs w:val="22"/>
        </w:rPr>
        <w:t xml:space="preserve">, </w:t>
      </w:r>
      <w:r w:rsidR="00C96AC0">
        <w:rPr>
          <w:rFonts w:eastAsia="Calibri"/>
          <w:sz w:val="22"/>
          <w:szCs w:val="22"/>
        </w:rPr>
        <w:t>lead (</w:t>
      </w:r>
      <w:r w:rsidRPr="007901D6">
        <w:rPr>
          <w:rFonts w:eastAsia="Calibri"/>
          <w:sz w:val="22"/>
          <w:szCs w:val="22"/>
        </w:rPr>
        <w:t>Pb</w:t>
      </w:r>
      <w:r w:rsidR="00C96AC0">
        <w:rPr>
          <w:rFonts w:eastAsia="Calibri"/>
          <w:sz w:val="22"/>
          <w:szCs w:val="22"/>
        </w:rPr>
        <w:t>)</w:t>
      </w:r>
      <w:r w:rsidRPr="007901D6">
        <w:rPr>
          <w:rFonts w:eastAsia="Calibri"/>
          <w:sz w:val="22"/>
          <w:szCs w:val="22"/>
        </w:rPr>
        <w:t xml:space="preserve">, fluorides (F), and </w:t>
      </w:r>
      <w:r w:rsidR="00C96AC0">
        <w:rPr>
          <w:rFonts w:eastAsia="Calibri"/>
          <w:sz w:val="22"/>
          <w:szCs w:val="22"/>
        </w:rPr>
        <w:t>mercury (</w:t>
      </w:r>
      <w:r w:rsidRPr="007901D6">
        <w:rPr>
          <w:rFonts w:eastAsia="Calibri"/>
          <w:sz w:val="22"/>
          <w:szCs w:val="22"/>
        </w:rPr>
        <w:t>Hg</w:t>
      </w:r>
      <w:r w:rsidR="00C96AC0">
        <w:rPr>
          <w:rFonts w:eastAsia="Calibri"/>
          <w:sz w:val="22"/>
          <w:szCs w:val="22"/>
        </w:rPr>
        <w:t>)</w:t>
      </w:r>
      <w:r w:rsidRPr="007901D6">
        <w:rPr>
          <w:rFonts w:eastAsia="Calibri"/>
          <w:sz w:val="22"/>
          <w:szCs w:val="22"/>
        </w:rPr>
        <w:t>.  Additional PSD pollutants that are more common to certain other industries include: hydrogen sulfide (H</w:t>
      </w:r>
      <w:r w:rsidRPr="007901D6">
        <w:rPr>
          <w:rFonts w:eastAsia="Calibri"/>
          <w:sz w:val="22"/>
          <w:szCs w:val="22"/>
          <w:vertAlign w:val="subscript"/>
        </w:rPr>
        <w:t>2</w:t>
      </w:r>
      <w:r w:rsidRPr="007901D6">
        <w:rPr>
          <w:rFonts w:eastAsia="Calibri"/>
          <w:sz w:val="22"/>
          <w:szCs w:val="22"/>
        </w:rPr>
        <w:t>S), TRS including H</w:t>
      </w:r>
      <w:r w:rsidRPr="007901D6">
        <w:rPr>
          <w:rFonts w:eastAsia="Calibri"/>
          <w:sz w:val="22"/>
          <w:szCs w:val="22"/>
          <w:vertAlign w:val="subscript"/>
        </w:rPr>
        <w:t>2</w:t>
      </w:r>
      <w:r w:rsidRPr="007901D6">
        <w:rPr>
          <w:rFonts w:eastAsia="Calibri"/>
          <w:sz w:val="22"/>
          <w:szCs w:val="22"/>
        </w:rPr>
        <w:t>S, reduced sulfur compounds (RSC) including H</w:t>
      </w:r>
      <w:r w:rsidRPr="007901D6">
        <w:rPr>
          <w:rFonts w:eastAsia="Calibri"/>
          <w:sz w:val="22"/>
          <w:szCs w:val="22"/>
          <w:vertAlign w:val="subscript"/>
        </w:rPr>
        <w:t>2</w:t>
      </w:r>
      <w:r w:rsidRPr="007901D6">
        <w:rPr>
          <w:rFonts w:eastAsia="Calibri"/>
          <w:sz w:val="22"/>
          <w:szCs w:val="22"/>
        </w:rPr>
        <w:t>S, municipal waste combustor (MWC) organics measured as total tetra- through octa-chlorinated dibenzo-p-dioxins and dibenzofurans (dioxin/furan), MWC metals measured as PM; MWC acid gases measured as SO</w:t>
      </w:r>
      <w:r w:rsidRPr="007901D6">
        <w:rPr>
          <w:rFonts w:eastAsia="Calibri"/>
          <w:sz w:val="22"/>
          <w:szCs w:val="22"/>
          <w:vertAlign w:val="subscript"/>
        </w:rPr>
        <w:t>2</w:t>
      </w:r>
      <w:r w:rsidRPr="007901D6">
        <w:rPr>
          <w:rFonts w:eastAsia="Calibri"/>
          <w:sz w:val="22"/>
          <w:szCs w:val="22"/>
        </w:rPr>
        <w:t xml:space="preserve"> and </w:t>
      </w:r>
      <w:r w:rsidR="00C96AC0">
        <w:rPr>
          <w:rFonts w:eastAsia="Calibri"/>
          <w:sz w:val="22"/>
          <w:szCs w:val="22"/>
        </w:rPr>
        <w:t>hydrogen chloride (</w:t>
      </w:r>
      <w:r w:rsidRPr="007901D6">
        <w:rPr>
          <w:rFonts w:eastAsia="Calibri"/>
          <w:sz w:val="22"/>
          <w:szCs w:val="22"/>
        </w:rPr>
        <w:t>HCl</w:t>
      </w:r>
      <w:r w:rsidR="00C96AC0">
        <w:rPr>
          <w:rFonts w:eastAsia="Calibri"/>
          <w:sz w:val="22"/>
          <w:szCs w:val="22"/>
        </w:rPr>
        <w:t>)</w:t>
      </w:r>
      <w:r w:rsidRPr="007901D6">
        <w:rPr>
          <w:rFonts w:eastAsia="Calibri"/>
          <w:sz w:val="22"/>
          <w:szCs w:val="22"/>
        </w:rPr>
        <w:t>, and municipal solid waste (</w:t>
      </w:r>
      <w:r w:rsidRPr="007901D6">
        <w:rPr>
          <w:sz w:val="22"/>
          <w:szCs w:val="22"/>
        </w:rPr>
        <w:t>MSW) landfill emissions as non-methane organic compounds (NMOC)</w:t>
      </w:r>
      <w:r w:rsidRPr="007901D6">
        <w:rPr>
          <w:rFonts w:eastAsia="Calibri"/>
          <w:sz w:val="22"/>
          <w:szCs w:val="22"/>
        </w:rPr>
        <w:t xml:space="preserve">.  </w:t>
      </w:r>
    </w:p>
    <w:p w:rsidR="00A707D8" w:rsidRDefault="00A707D8" w:rsidP="00A707D8">
      <w:pPr>
        <w:widowControl w:val="0"/>
        <w:spacing w:after="120"/>
        <w:rPr>
          <w:rFonts w:eastAsia="Calibri"/>
          <w:sz w:val="22"/>
          <w:szCs w:val="22"/>
        </w:rPr>
      </w:pPr>
      <w:r w:rsidRPr="007901D6">
        <w:rPr>
          <w:rFonts w:eastAsia="Calibri"/>
          <w:sz w:val="22"/>
          <w:szCs w:val="22"/>
        </w:rPr>
        <w:t>G</w:t>
      </w:r>
      <w:r>
        <w:rPr>
          <w:rFonts w:eastAsia="Calibri"/>
          <w:sz w:val="22"/>
          <w:szCs w:val="22"/>
        </w:rPr>
        <w:t>reenhouse gases (G</w:t>
      </w:r>
      <w:r w:rsidRPr="007901D6">
        <w:rPr>
          <w:rFonts w:eastAsia="Calibri"/>
          <w:sz w:val="22"/>
          <w:szCs w:val="22"/>
        </w:rPr>
        <w:t>HGs</w:t>
      </w:r>
      <w:r>
        <w:rPr>
          <w:rFonts w:eastAsia="Calibri"/>
          <w:sz w:val="22"/>
          <w:szCs w:val="22"/>
        </w:rPr>
        <w:t>)</w:t>
      </w:r>
      <w:r w:rsidRPr="007901D6">
        <w:rPr>
          <w:rFonts w:eastAsia="Calibri"/>
          <w:sz w:val="22"/>
          <w:szCs w:val="22"/>
        </w:rPr>
        <w:t xml:space="preserve"> is defined at section 40 CFR 86.1818-12(a) as the aggregate group of gases including CO</w:t>
      </w:r>
      <w:r w:rsidRPr="007901D6">
        <w:rPr>
          <w:rFonts w:eastAsia="Calibri"/>
          <w:sz w:val="22"/>
          <w:szCs w:val="22"/>
          <w:vertAlign w:val="subscript"/>
        </w:rPr>
        <w:t>2</w:t>
      </w:r>
      <w:r w:rsidRPr="007901D6">
        <w:rPr>
          <w:rFonts w:eastAsia="Calibri"/>
          <w:sz w:val="22"/>
          <w:szCs w:val="22"/>
        </w:rPr>
        <w:t>, nitrous oxide (N</w:t>
      </w:r>
      <w:r w:rsidRPr="007901D6">
        <w:rPr>
          <w:rFonts w:eastAsia="Calibri"/>
          <w:sz w:val="22"/>
          <w:szCs w:val="22"/>
          <w:vertAlign w:val="subscript"/>
        </w:rPr>
        <w:t>2</w:t>
      </w:r>
      <w:r w:rsidRPr="007901D6">
        <w:rPr>
          <w:rFonts w:eastAsia="Calibri"/>
          <w:sz w:val="22"/>
          <w:szCs w:val="22"/>
        </w:rPr>
        <w:t>O), methane CH</w:t>
      </w:r>
      <w:r w:rsidRPr="007901D6">
        <w:rPr>
          <w:rFonts w:eastAsia="Calibri"/>
          <w:sz w:val="22"/>
          <w:szCs w:val="22"/>
          <w:vertAlign w:val="subscript"/>
        </w:rPr>
        <w:t>4</w:t>
      </w:r>
      <w:r w:rsidRPr="007901D6">
        <w:rPr>
          <w:rFonts w:eastAsia="Calibri"/>
          <w:sz w:val="22"/>
          <w:szCs w:val="22"/>
        </w:rPr>
        <w:t>, hydrofluorocarbons (HFCs), perfluorocarbons (PFCs), and sulfur hexafluoride (SF</w:t>
      </w:r>
      <w:r w:rsidRPr="007901D6">
        <w:rPr>
          <w:rFonts w:eastAsia="Calibri"/>
          <w:sz w:val="22"/>
          <w:szCs w:val="22"/>
          <w:vertAlign w:val="subscript"/>
        </w:rPr>
        <w:t>6</w:t>
      </w:r>
      <w:r w:rsidRPr="007901D6">
        <w:rPr>
          <w:rFonts w:eastAsia="Calibri"/>
          <w:sz w:val="22"/>
          <w:szCs w:val="22"/>
        </w:rPr>
        <w:t>).  GHGs is expressed as CO</w:t>
      </w:r>
      <w:r w:rsidRPr="007901D6">
        <w:rPr>
          <w:rFonts w:eastAsia="Calibri"/>
          <w:sz w:val="22"/>
          <w:szCs w:val="22"/>
          <w:vertAlign w:val="subscript"/>
        </w:rPr>
        <w:t>2</w:t>
      </w:r>
      <w:r w:rsidRPr="007901D6">
        <w:rPr>
          <w:rFonts w:eastAsia="Calibri"/>
          <w:sz w:val="22"/>
          <w:szCs w:val="22"/>
        </w:rPr>
        <w:t>-equivalent (CO</w:t>
      </w:r>
      <w:r w:rsidRPr="007901D6">
        <w:rPr>
          <w:rFonts w:eastAsia="Calibri"/>
          <w:sz w:val="22"/>
          <w:szCs w:val="22"/>
          <w:vertAlign w:val="subscript"/>
        </w:rPr>
        <w:t>2</w:t>
      </w:r>
      <w:r w:rsidRPr="007901D6">
        <w:rPr>
          <w:rFonts w:eastAsia="Calibri"/>
          <w:sz w:val="22"/>
          <w:szCs w:val="22"/>
        </w:rPr>
        <w:t xml:space="preserve">e).  </w:t>
      </w:r>
    </w:p>
    <w:p w:rsidR="00A707D8" w:rsidRPr="00F15C32" w:rsidRDefault="00A707D8" w:rsidP="00F15C32">
      <w:pPr>
        <w:pStyle w:val="ListParagraph"/>
        <w:numPr>
          <w:ilvl w:val="1"/>
          <w:numId w:val="12"/>
        </w:numPr>
        <w:spacing w:after="120"/>
        <w:ind w:left="720" w:hanging="720"/>
        <w:contextualSpacing w:val="0"/>
        <w:rPr>
          <w:b/>
          <w:sz w:val="22"/>
        </w:rPr>
      </w:pPr>
      <w:r w:rsidRPr="00F15C32">
        <w:rPr>
          <w:b/>
          <w:sz w:val="22"/>
        </w:rPr>
        <w:t>Definition of a Major Stationary Source</w:t>
      </w:r>
    </w:p>
    <w:p w:rsidR="00A707D8" w:rsidRPr="007901D6" w:rsidRDefault="00A707D8" w:rsidP="00C96AC0">
      <w:pPr>
        <w:pStyle w:val="Default"/>
        <w:spacing w:after="60"/>
        <w:rPr>
          <w:sz w:val="22"/>
          <w:szCs w:val="22"/>
        </w:rPr>
      </w:pPr>
      <w:r w:rsidRPr="007901D6">
        <w:rPr>
          <w:rFonts w:eastAsia="Calibri"/>
          <w:sz w:val="22"/>
          <w:szCs w:val="22"/>
        </w:rPr>
        <w:t xml:space="preserve">As defined in Rule 62-210.200(Definitions), F.A.C., </w:t>
      </w:r>
      <w:r w:rsidRPr="007901D6">
        <w:rPr>
          <w:sz w:val="22"/>
          <w:szCs w:val="22"/>
        </w:rPr>
        <w:t>a stationary source is a “major stationary source” (major PSD source) if it emits or has the potential to emit (PTE):</w:t>
      </w:r>
    </w:p>
    <w:p w:rsidR="00A707D8" w:rsidRPr="007901D6" w:rsidRDefault="00A707D8" w:rsidP="00C96AC0">
      <w:pPr>
        <w:pStyle w:val="Default"/>
        <w:numPr>
          <w:ilvl w:val="0"/>
          <w:numId w:val="8"/>
        </w:numPr>
        <w:spacing w:after="60"/>
        <w:ind w:left="360"/>
        <w:rPr>
          <w:rFonts w:eastAsia="Calibri"/>
          <w:sz w:val="22"/>
          <w:szCs w:val="22"/>
        </w:rPr>
      </w:pPr>
      <w:r w:rsidRPr="007901D6">
        <w:rPr>
          <w:sz w:val="22"/>
          <w:szCs w:val="22"/>
        </w:rPr>
        <w:t xml:space="preserve">250 tons per year (tons/year) or more of any PSD pollutant; </w:t>
      </w:r>
      <w:r w:rsidRPr="007901D6">
        <w:rPr>
          <w:sz w:val="22"/>
          <w:szCs w:val="22"/>
          <w:u w:val="single"/>
        </w:rPr>
        <w:t>or</w:t>
      </w:r>
      <w:r w:rsidRPr="007901D6">
        <w:rPr>
          <w:sz w:val="22"/>
          <w:szCs w:val="22"/>
        </w:rPr>
        <w:t xml:space="preserve"> </w:t>
      </w:r>
    </w:p>
    <w:p w:rsidR="00A707D8" w:rsidRPr="007901D6" w:rsidRDefault="00A707D8" w:rsidP="00C96AC0">
      <w:pPr>
        <w:pStyle w:val="Default"/>
        <w:numPr>
          <w:ilvl w:val="0"/>
          <w:numId w:val="8"/>
        </w:numPr>
        <w:spacing w:after="60"/>
        <w:ind w:left="360"/>
        <w:rPr>
          <w:rFonts w:eastAsia="Calibri"/>
          <w:sz w:val="22"/>
          <w:szCs w:val="22"/>
        </w:rPr>
      </w:pPr>
      <w:r w:rsidRPr="007901D6">
        <w:rPr>
          <w:sz w:val="22"/>
          <w:szCs w:val="22"/>
        </w:rPr>
        <w:t xml:space="preserve">100 tons/year or more of any PSD pollutant </w:t>
      </w:r>
      <w:r w:rsidRPr="007901D6">
        <w:rPr>
          <w:sz w:val="22"/>
          <w:szCs w:val="22"/>
          <w:u w:val="single"/>
        </w:rPr>
        <w:t>and</w:t>
      </w:r>
      <w:r w:rsidRPr="007901D6">
        <w:rPr>
          <w:sz w:val="22"/>
          <w:szCs w:val="22"/>
        </w:rPr>
        <w:t xml:space="preserve"> the facility belongs to one of the 28 listed PSD major facility categories</w:t>
      </w:r>
      <w:r>
        <w:rPr>
          <w:sz w:val="22"/>
          <w:szCs w:val="22"/>
        </w:rPr>
        <w:t>;</w:t>
      </w:r>
      <w:r w:rsidRPr="007901D6">
        <w:rPr>
          <w:sz w:val="22"/>
          <w:szCs w:val="22"/>
        </w:rPr>
        <w:t xml:space="preserve">  </w:t>
      </w:r>
    </w:p>
    <w:p w:rsidR="00A707D8" w:rsidRPr="00A707D8" w:rsidRDefault="00A707D8" w:rsidP="00BE23A8">
      <w:pPr>
        <w:pStyle w:val="Default"/>
        <w:widowControl w:val="0"/>
        <w:numPr>
          <w:ilvl w:val="0"/>
          <w:numId w:val="8"/>
        </w:numPr>
        <w:spacing w:after="120"/>
        <w:ind w:left="360"/>
        <w:rPr>
          <w:rFonts w:eastAsia="Calibri"/>
          <w:sz w:val="22"/>
          <w:szCs w:val="22"/>
        </w:rPr>
      </w:pPr>
      <w:r w:rsidRPr="00A707D8">
        <w:rPr>
          <w:rFonts w:eastAsia="Calibri"/>
          <w:sz w:val="22"/>
          <w:szCs w:val="22"/>
        </w:rPr>
        <w:t xml:space="preserve">For the special case of </w:t>
      </w:r>
      <w:r w:rsidR="00FC3D22">
        <w:rPr>
          <w:rFonts w:eastAsia="Calibri"/>
          <w:sz w:val="22"/>
          <w:szCs w:val="22"/>
        </w:rPr>
        <w:t>g</w:t>
      </w:r>
      <w:r w:rsidR="00FC3D22" w:rsidRPr="00A707D8">
        <w:rPr>
          <w:rFonts w:eastAsia="Calibri"/>
          <w:sz w:val="22"/>
          <w:szCs w:val="22"/>
        </w:rPr>
        <w:t xml:space="preserve">reenhouse </w:t>
      </w:r>
      <w:r w:rsidRPr="00A707D8">
        <w:rPr>
          <w:rFonts w:eastAsia="Calibri"/>
          <w:sz w:val="22"/>
          <w:szCs w:val="22"/>
        </w:rPr>
        <w:t>gases (GHGs), the facility must first be shown to emit or have a PTE of 100,000 tons/year of GHGs as carbon dioxide equivalent (CO</w:t>
      </w:r>
      <w:r w:rsidRPr="00A707D8">
        <w:rPr>
          <w:rFonts w:eastAsia="Calibri"/>
          <w:sz w:val="22"/>
          <w:szCs w:val="22"/>
          <w:vertAlign w:val="subscript"/>
        </w:rPr>
        <w:t>2</w:t>
      </w:r>
      <w:r w:rsidRPr="00A707D8">
        <w:rPr>
          <w:rFonts w:eastAsia="Calibri"/>
          <w:sz w:val="22"/>
          <w:szCs w:val="22"/>
        </w:rPr>
        <w:t>e) to possibly be subject to regulation.</w:t>
      </w:r>
      <w:r>
        <w:rPr>
          <w:rStyle w:val="FootnoteReference"/>
          <w:rFonts w:eastAsia="Calibri"/>
          <w:sz w:val="22"/>
          <w:szCs w:val="22"/>
        </w:rPr>
        <w:footnoteReference w:id="1"/>
      </w:r>
      <w:r w:rsidRPr="00A707D8">
        <w:rPr>
          <w:rFonts w:eastAsia="Calibri"/>
          <w:sz w:val="22"/>
          <w:szCs w:val="22"/>
        </w:rPr>
        <w:t xml:space="preserve">  </w:t>
      </w:r>
    </w:p>
    <w:p w:rsidR="00A707D8" w:rsidRPr="007901D6" w:rsidRDefault="00A707D8" w:rsidP="002146EA">
      <w:pPr>
        <w:widowControl w:val="0"/>
        <w:spacing w:after="120"/>
        <w:rPr>
          <w:rFonts w:eastAsia="Calibri"/>
          <w:sz w:val="22"/>
          <w:szCs w:val="22"/>
        </w:rPr>
      </w:pPr>
      <w:r w:rsidRPr="00B81C9A">
        <w:rPr>
          <w:rFonts w:eastAsia="Calibri"/>
          <w:sz w:val="22"/>
          <w:szCs w:val="22"/>
        </w:rPr>
        <w:t>The list</w:t>
      </w:r>
      <w:r>
        <w:rPr>
          <w:rFonts w:eastAsia="Calibri"/>
          <w:sz w:val="22"/>
          <w:szCs w:val="22"/>
        </w:rPr>
        <w:t>ed PSD major facility categories</w:t>
      </w:r>
      <w:r w:rsidRPr="00B81C9A">
        <w:rPr>
          <w:rFonts w:eastAsia="Calibri"/>
          <w:sz w:val="22"/>
          <w:szCs w:val="22"/>
        </w:rPr>
        <w:t xml:space="preserve"> includes “</w:t>
      </w:r>
      <w:r w:rsidR="002146EA" w:rsidRPr="002146EA">
        <w:rPr>
          <w:rFonts w:eastAsia="Calibri"/>
          <w:sz w:val="22"/>
          <w:szCs w:val="22"/>
        </w:rPr>
        <w:t xml:space="preserve">municipal incinerators capable of charging more than 250 tons of refuse per </w:t>
      </w:r>
      <w:r w:rsidR="002146EA">
        <w:rPr>
          <w:rFonts w:eastAsia="Calibri"/>
          <w:sz w:val="22"/>
          <w:szCs w:val="22"/>
        </w:rPr>
        <w:t>day</w:t>
      </w:r>
      <w:r w:rsidRPr="00B81C9A">
        <w:rPr>
          <w:rFonts w:eastAsia="Calibri"/>
          <w:sz w:val="22"/>
          <w:szCs w:val="22"/>
        </w:rPr>
        <w:t xml:space="preserve">”.  The given category applies to the </w:t>
      </w:r>
      <w:r w:rsidR="00FC3D22" w:rsidRPr="005221D0">
        <w:rPr>
          <w:sz w:val="22"/>
          <w:szCs w:val="22"/>
        </w:rPr>
        <w:t>PBRE</w:t>
      </w:r>
      <w:r w:rsidR="00FC3D22">
        <w:rPr>
          <w:sz w:val="22"/>
          <w:szCs w:val="22"/>
        </w:rPr>
        <w:t>F-2</w:t>
      </w:r>
      <w:r>
        <w:rPr>
          <w:rFonts w:eastAsia="Calibri"/>
          <w:sz w:val="22"/>
          <w:szCs w:val="22"/>
        </w:rPr>
        <w:t>.</w:t>
      </w:r>
      <w:r w:rsidRPr="00B81C9A">
        <w:rPr>
          <w:rFonts w:eastAsia="Calibri"/>
          <w:sz w:val="22"/>
          <w:szCs w:val="22"/>
        </w:rPr>
        <w:t xml:space="preserve">  </w:t>
      </w:r>
      <w:r w:rsidR="00FC3D22">
        <w:rPr>
          <w:rFonts w:eastAsia="Calibri"/>
          <w:sz w:val="22"/>
          <w:szCs w:val="22"/>
        </w:rPr>
        <w:t xml:space="preserve">PBREF-2 </w:t>
      </w:r>
      <w:r w:rsidRPr="00B81C9A">
        <w:rPr>
          <w:rFonts w:eastAsia="Calibri"/>
          <w:sz w:val="22"/>
          <w:szCs w:val="22"/>
        </w:rPr>
        <w:t xml:space="preserve">is a major stationary source based on </w:t>
      </w:r>
      <w:r w:rsidRPr="00B81C9A">
        <w:rPr>
          <w:rFonts w:eastAsia="Calibri"/>
          <w:sz w:val="22"/>
          <w:szCs w:val="22"/>
        </w:rPr>
        <w:lastRenderedPageBreak/>
        <w:t xml:space="preserve">actual emissions of and potential to emit </w:t>
      </w:r>
      <w:r>
        <w:rPr>
          <w:rFonts w:eastAsia="Calibri"/>
          <w:sz w:val="22"/>
          <w:szCs w:val="22"/>
        </w:rPr>
        <w:t>100</w:t>
      </w:r>
      <w:r w:rsidRPr="00B81C9A">
        <w:rPr>
          <w:rFonts w:eastAsia="Calibri"/>
          <w:sz w:val="22"/>
          <w:szCs w:val="22"/>
        </w:rPr>
        <w:t xml:space="preserve"> tons/year or more of several individual PSD pollutants.</w:t>
      </w:r>
      <w:r w:rsidRPr="005C0768">
        <w:rPr>
          <w:rFonts w:eastAsia="Calibri"/>
          <w:sz w:val="22"/>
          <w:szCs w:val="22"/>
        </w:rPr>
        <w:t xml:space="preserve">  </w:t>
      </w:r>
    </w:p>
    <w:p w:rsidR="00A707D8" w:rsidRDefault="00A707D8" w:rsidP="00A707D8">
      <w:pPr>
        <w:spacing w:after="120"/>
        <w:rPr>
          <w:rFonts w:eastAsia="Calibri"/>
          <w:sz w:val="22"/>
          <w:szCs w:val="22"/>
        </w:rPr>
      </w:pPr>
      <w:r>
        <w:rPr>
          <w:rFonts w:eastAsia="Calibri"/>
          <w:sz w:val="22"/>
          <w:szCs w:val="22"/>
        </w:rPr>
        <w:t xml:space="preserve">If </w:t>
      </w:r>
      <w:r w:rsidR="002146EA">
        <w:rPr>
          <w:rFonts w:eastAsia="Calibri"/>
          <w:sz w:val="22"/>
          <w:szCs w:val="22"/>
        </w:rPr>
        <w:t>e</w:t>
      </w:r>
      <w:r>
        <w:rPr>
          <w:rFonts w:eastAsia="Calibri"/>
          <w:sz w:val="22"/>
          <w:szCs w:val="22"/>
        </w:rPr>
        <w:t xml:space="preserve">missions </w:t>
      </w:r>
      <w:r w:rsidR="002146EA">
        <w:rPr>
          <w:rFonts w:eastAsia="Calibri"/>
          <w:sz w:val="22"/>
          <w:szCs w:val="22"/>
        </w:rPr>
        <w:t xml:space="preserve">of GHGs </w:t>
      </w:r>
      <w:r>
        <w:rPr>
          <w:rFonts w:eastAsia="Calibri"/>
          <w:sz w:val="22"/>
          <w:szCs w:val="22"/>
        </w:rPr>
        <w:t>expressed as CO</w:t>
      </w:r>
      <w:r w:rsidRPr="0025034A">
        <w:rPr>
          <w:rFonts w:eastAsia="Calibri"/>
          <w:sz w:val="22"/>
          <w:szCs w:val="22"/>
          <w:vertAlign w:val="subscript"/>
        </w:rPr>
        <w:t>2</w:t>
      </w:r>
      <w:r>
        <w:rPr>
          <w:rFonts w:eastAsia="Calibri"/>
          <w:sz w:val="22"/>
          <w:szCs w:val="22"/>
        </w:rPr>
        <w:t>e emissions are greater than 100,000 tons/year, then the total (unweighted) GHG</w:t>
      </w:r>
      <w:r w:rsidR="002146EA">
        <w:rPr>
          <w:rFonts w:eastAsia="Calibri"/>
          <w:sz w:val="22"/>
          <w:szCs w:val="22"/>
        </w:rPr>
        <w:t>s</w:t>
      </w:r>
      <w:r>
        <w:rPr>
          <w:rFonts w:eastAsia="Calibri"/>
          <w:sz w:val="22"/>
          <w:szCs w:val="22"/>
        </w:rPr>
        <w:t xml:space="preserve"> mass emissions are compared with the 100 and 250 tons/year thresholds to determine whether the source is a major stationary source.</w:t>
      </w:r>
      <w:r>
        <w:rPr>
          <w:rStyle w:val="FootnoteReference"/>
          <w:rFonts w:eastAsia="Calibri"/>
          <w:sz w:val="22"/>
          <w:szCs w:val="22"/>
        </w:rPr>
        <w:footnoteReference w:id="2"/>
      </w:r>
    </w:p>
    <w:p w:rsidR="00A707D8" w:rsidRDefault="00A707D8" w:rsidP="00A707D8">
      <w:pPr>
        <w:spacing w:after="120"/>
        <w:rPr>
          <w:rFonts w:eastAsia="Calibri"/>
          <w:sz w:val="22"/>
          <w:szCs w:val="22"/>
        </w:rPr>
      </w:pPr>
      <w:r w:rsidRPr="007901D6">
        <w:rPr>
          <w:rFonts w:eastAsia="Calibri"/>
          <w:sz w:val="22"/>
          <w:szCs w:val="22"/>
        </w:rPr>
        <w:t>Once a new facility is considered a major stationary source based on one PSD pollutant, then other PSD pollutants are reviewed for PSD applicability based on the respective Significant Emission Rate (SER) defined and specified in Rule 62-210.200, F.A.C.  Each pollutant projected to be emitted at a rate equal to or greater than its respective SER is also considered to be “</w:t>
      </w:r>
      <w:r w:rsidRPr="007901D6">
        <w:rPr>
          <w:rFonts w:eastAsia="Calibri"/>
          <w:i/>
          <w:sz w:val="22"/>
          <w:szCs w:val="22"/>
        </w:rPr>
        <w:t>significant</w:t>
      </w:r>
      <w:r w:rsidRPr="007901D6">
        <w:rPr>
          <w:rFonts w:eastAsia="Calibri"/>
          <w:sz w:val="22"/>
          <w:szCs w:val="22"/>
        </w:rPr>
        <w:t xml:space="preserve">” and subject to PSD preconstruction review, including a BACT determination.  </w:t>
      </w:r>
    </w:p>
    <w:p w:rsidR="00A707D8" w:rsidRPr="007901D6" w:rsidRDefault="00060D5C" w:rsidP="00A707D8">
      <w:pPr>
        <w:widowControl w:val="0"/>
        <w:spacing w:after="120"/>
        <w:rPr>
          <w:rFonts w:eastAsia="Calibri"/>
          <w:sz w:val="22"/>
          <w:szCs w:val="22"/>
        </w:rPr>
      </w:pPr>
      <w:r>
        <w:rPr>
          <w:rFonts w:eastAsia="Calibri"/>
          <w:sz w:val="22"/>
          <w:szCs w:val="22"/>
        </w:rPr>
        <w:t>R</w:t>
      </w:r>
      <w:r w:rsidR="00A707D8">
        <w:rPr>
          <w:rFonts w:eastAsia="Calibri"/>
          <w:sz w:val="22"/>
          <w:szCs w:val="22"/>
        </w:rPr>
        <w:t xml:space="preserve">efer to </w:t>
      </w:r>
      <w:r w:rsidR="001A56C2" w:rsidRPr="001A56C2">
        <w:rPr>
          <w:rFonts w:eastAsia="Calibri"/>
          <w:b/>
          <w:sz w:val="22"/>
          <w:szCs w:val="22"/>
        </w:rPr>
        <w:fldChar w:fldCharType="begin"/>
      </w:r>
      <w:r w:rsidR="001A56C2" w:rsidRPr="001A56C2">
        <w:rPr>
          <w:rFonts w:eastAsia="Calibri"/>
          <w:b/>
          <w:sz w:val="22"/>
          <w:szCs w:val="22"/>
        </w:rPr>
        <w:instrText xml:space="preserve"> REF _Ref394052263 \h  \* MERGEFORMAT </w:instrText>
      </w:r>
      <w:r w:rsidR="001A56C2" w:rsidRPr="001A56C2">
        <w:rPr>
          <w:rFonts w:eastAsia="Calibri"/>
          <w:b/>
          <w:sz w:val="22"/>
          <w:szCs w:val="22"/>
        </w:rPr>
      </w:r>
      <w:r w:rsidR="001A56C2" w:rsidRPr="001A56C2">
        <w:rPr>
          <w:rFonts w:eastAsia="Calibri"/>
          <w:b/>
          <w:sz w:val="22"/>
          <w:szCs w:val="22"/>
        </w:rPr>
        <w:fldChar w:fldCharType="separate"/>
      </w:r>
      <w:r w:rsidR="00AF1F1C" w:rsidRPr="00AF1F1C">
        <w:rPr>
          <w:b/>
          <w:sz w:val="22"/>
          <w:szCs w:val="22"/>
        </w:rPr>
        <w:t xml:space="preserve">Table </w:t>
      </w:r>
      <w:r w:rsidR="00AF1F1C" w:rsidRPr="00AF1F1C">
        <w:rPr>
          <w:b/>
          <w:noProof/>
          <w:sz w:val="22"/>
          <w:szCs w:val="22"/>
        </w:rPr>
        <w:t>1</w:t>
      </w:r>
      <w:r w:rsidR="001A56C2" w:rsidRPr="001A56C2">
        <w:rPr>
          <w:rFonts w:eastAsia="Calibri"/>
          <w:b/>
          <w:sz w:val="22"/>
          <w:szCs w:val="22"/>
        </w:rPr>
        <w:fldChar w:fldCharType="end"/>
      </w:r>
      <w:r w:rsidR="00A707D8">
        <w:rPr>
          <w:rFonts w:eastAsia="Calibri"/>
          <w:sz w:val="22"/>
          <w:szCs w:val="22"/>
        </w:rPr>
        <w:t xml:space="preserve">.  </w:t>
      </w:r>
      <w:r w:rsidR="00A707D8" w:rsidRPr="007901D6">
        <w:rPr>
          <w:rFonts w:eastAsia="Calibri"/>
          <w:sz w:val="22"/>
          <w:szCs w:val="22"/>
        </w:rPr>
        <w:t xml:space="preserve">Although a new stationary source may be “major” for </w:t>
      </w:r>
      <w:r w:rsidR="00A707D8">
        <w:rPr>
          <w:rFonts w:eastAsia="Calibri"/>
          <w:sz w:val="22"/>
          <w:szCs w:val="22"/>
        </w:rPr>
        <w:t xml:space="preserve">a single </w:t>
      </w:r>
      <w:r w:rsidR="00A707D8" w:rsidRPr="007901D6">
        <w:rPr>
          <w:rFonts w:eastAsia="Calibri"/>
          <w:sz w:val="22"/>
          <w:szCs w:val="22"/>
        </w:rPr>
        <w:t xml:space="preserve">PSD pollutant, the project must include BACT controls for any PSD pollutant that exceeds the corresponding significant emission rates (SERs) </w:t>
      </w:r>
      <w:r w:rsidR="00A707D8">
        <w:rPr>
          <w:rFonts w:eastAsia="Calibri"/>
          <w:sz w:val="22"/>
          <w:szCs w:val="22"/>
        </w:rPr>
        <w:t>listed in the table below</w:t>
      </w:r>
      <w:r w:rsidR="00A707D8" w:rsidRPr="007901D6">
        <w:rPr>
          <w:rFonts w:eastAsia="Calibri"/>
          <w:sz w:val="22"/>
          <w:szCs w:val="22"/>
        </w:rPr>
        <w:t>.</w:t>
      </w:r>
      <w:r w:rsidR="00A707D8">
        <w:rPr>
          <w:rFonts w:eastAsia="Calibri"/>
          <w:sz w:val="22"/>
          <w:szCs w:val="22"/>
        </w:rPr>
        <w:t xml:space="preserve">  </w:t>
      </w:r>
    </w:p>
    <w:p w:rsidR="00A707D8" w:rsidRPr="00A9379E" w:rsidRDefault="001A56C2" w:rsidP="001A56C2">
      <w:pPr>
        <w:pStyle w:val="Caption"/>
        <w:spacing w:before="0"/>
        <w:jc w:val="center"/>
        <w:rPr>
          <w:rFonts w:ascii="Times New Roman Bold" w:hAnsi="Times New Roman Bold"/>
          <w:color w:val="000000"/>
          <w:szCs w:val="22"/>
        </w:rPr>
      </w:pPr>
      <w:bookmarkStart w:id="3" w:name="_Ref394052263"/>
      <w:r>
        <w:t xml:space="preserve">Table </w:t>
      </w:r>
      <w:fldSimple w:instr=" SEQ Table \* ARABIC ">
        <w:r w:rsidR="00AF1F1C">
          <w:rPr>
            <w:noProof/>
          </w:rPr>
          <w:t>1</w:t>
        </w:r>
      </w:fldSimple>
      <w:bookmarkEnd w:id="3"/>
      <w:r w:rsidR="00A707D8">
        <w:rPr>
          <w:rFonts w:ascii="Times New Roman Bold" w:hAnsi="Times New Roman Bold"/>
          <w:color w:val="000000"/>
          <w:szCs w:val="22"/>
        </w:rPr>
        <w:t xml:space="preserve"> - </w:t>
      </w:r>
      <w:r w:rsidR="00A707D8" w:rsidRPr="00A9379E">
        <w:rPr>
          <w:rFonts w:ascii="Times New Roman Bold" w:hAnsi="Times New Roman Bold"/>
          <w:color w:val="000000"/>
          <w:szCs w:val="22"/>
        </w:rPr>
        <w:t xml:space="preserve">List of Significant Emission Rates by PSD-Pollutant. </w:t>
      </w:r>
      <w:r w:rsidR="00A707D8" w:rsidRPr="00A9379E">
        <w:rPr>
          <w:rFonts w:ascii="Times New Roman Bold" w:hAnsi="Times New Roman Bold"/>
          <w:color w:val="000000"/>
          <w:szCs w:val="22"/>
          <w:vertAlign w:val="superscript"/>
        </w:rPr>
        <w:t>1</w:t>
      </w:r>
    </w:p>
    <w:tbl>
      <w:tblPr>
        <w:tblW w:w="977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757"/>
        <w:gridCol w:w="2160"/>
        <w:gridCol w:w="2790"/>
        <w:gridCol w:w="2070"/>
      </w:tblGrid>
      <w:tr w:rsidR="00861123" w:rsidRPr="005C0768" w:rsidTr="001A56C2">
        <w:trPr>
          <w:trHeight w:val="290"/>
          <w:tblHeader/>
          <w:jc w:val="center"/>
        </w:trPr>
        <w:tc>
          <w:tcPr>
            <w:tcW w:w="2757" w:type="dxa"/>
            <w:shd w:val="clear" w:color="auto" w:fill="D5DCE4"/>
            <w:vAlign w:val="center"/>
            <w:hideMark/>
          </w:tcPr>
          <w:p w:rsidR="00A707D8" w:rsidRPr="00861123" w:rsidRDefault="00A707D8" w:rsidP="00E660CE">
            <w:pPr>
              <w:autoSpaceDE w:val="0"/>
              <w:autoSpaceDN w:val="0"/>
              <w:adjustRightInd w:val="0"/>
              <w:spacing w:before="20" w:after="20"/>
              <w:jc w:val="center"/>
              <w:rPr>
                <w:b/>
                <w:color w:val="000000"/>
              </w:rPr>
            </w:pPr>
            <w:r w:rsidRPr="00861123">
              <w:rPr>
                <w:b/>
                <w:color w:val="000000"/>
              </w:rPr>
              <w:t>Pollutant</w:t>
            </w:r>
          </w:p>
        </w:tc>
        <w:tc>
          <w:tcPr>
            <w:tcW w:w="2160" w:type="dxa"/>
            <w:shd w:val="clear" w:color="auto" w:fill="D5DCE4"/>
            <w:vAlign w:val="center"/>
            <w:hideMark/>
          </w:tcPr>
          <w:p w:rsidR="00A707D8" w:rsidRPr="00861123" w:rsidRDefault="00A707D8" w:rsidP="00E660CE">
            <w:pPr>
              <w:autoSpaceDE w:val="0"/>
              <w:autoSpaceDN w:val="0"/>
              <w:adjustRightInd w:val="0"/>
              <w:spacing w:before="20" w:after="20"/>
              <w:jc w:val="center"/>
              <w:rPr>
                <w:b/>
                <w:color w:val="000000"/>
              </w:rPr>
            </w:pPr>
            <w:r w:rsidRPr="00861123">
              <w:rPr>
                <w:b/>
                <w:color w:val="000000"/>
              </w:rPr>
              <w:t>SER (tons/year)</w:t>
            </w:r>
          </w:p>
        </w:tc>
        <w:tc>
          <w:tcPr>
            <w:tcW w:w="2790" w:type="dxa"/>
            <w:shd w:val="clear" w:color="auto" w:fill="D5DCE4"/>
            <w:vAlign w:val="center"/>
            <w:hideMark/>
          </w:tcPr>
          <w:p w:rsidR="00A707D8" w:rsidRPr="00861123" w:rsidRDefault="00A707D8" w:rsidP="00E660CE">
            <w:pPr>
              <w:autoSpaceDE w:val="0"/>
              <w:autoSpaceDN w:val="0"/>
              <w:adjustRightInd w:val="0"/>
              <w:spacing w:before="20" w:after="20"/>
              <w:jc w:val="center"/>
              <w:rPr>
                <w:b/>
                <w:color w:val="000000"/>
              </w:rPr>
            </w:pPr>
            <w:r w:rsidRPr="00861123">
              <w:rPr>
                <w:b/>
                <w:color w:val="000000"/>
              </w:rPr>
              <w:t>Pollutant</w:t>
            </w:r>
          </w:p>
        </w:tc>
        <w:tc>
          <w:tcPr>
            <w:tcW w:w="2070" w:type="dxa"/>
            <w:shd w:val="clear" w:color="auto" w:fill="D5DCE4"/>
            <w:vAlign w:val="center"/>
            <w:hideMark/>
          </w:tcPr>
          <w:p w:rsidR="00A707D8" w:rsidRPr="00861123" w:rsidRDefault="00A707D8" w:rsidP="00EF4AA2">
            <w:pPr>
              <w:autoSpaceDE w:val="0"/>
              <w:autoSpaceDN w:val="0"/>
              <w:adjustRightInd w:val="0"/>
              <w:spacing w:before="20" w:after="20"/>
              <w:jc w:val="center"/>
              <w:rPr>
                <w:b/>
                <w:color w:val="000000"/>
              </w:rPr>
            </w:pPr>
            <w:r w:rsidRPr="00861123">
              <w:rPr>
                <w:b/>
                <w:color w:val="000000"/>
              </w:rPr>
              <w:t>SER (tons/year)</w:t>
            </w:r>
            <w:r w:rsidR="00EF4AA2">
              <w:rPr>
                <w:b/>
                <w:color w:val="000000"/>
              </w:rPr>
              <w:t xml:space="preserve"> </w:t>
            </w:r>
            <w:r w:rsidR="00EF4AA2" w:rsidRPr="00EF4AA2">
              <w:rPr>
                <w:b/>
                <w:color w:val="000000"/>
                <w:vertAlign w:val="superscript"/>
              </w:rPr>
              <w:t>4</w:t>
            </w:r>
          </w:p>
        </w:tc>
      </w:tr>
      <w:tr w:rsidR="00A707D8" w:rsidRPr="005C0768" w:rsidTr="001A56C2">
        <w:trPr>
          <w:trHeight w:val="264"/>
          <w:jc w:val="center"/>
        </w:trPr>
        <w:tc>
          <w:tcPr>
            <w:tcW w:w="2757"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CO</w:t>
            </w:r>
          </w:p>
        </w:tc>
        <w:tc>
          <w:tcPr>
            <w:tcW w:w="216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100</w:t>
            </w:r>
          </w:p>
        </w:tc>
        <w:tc>
          <w:tcPr>
            <w:tcW w:w="2790"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NO</w:t>
            </w:r>
            <w:r w:rsidRPr="00861123">
              <w:rPr>
                <w:color w:val="000000"/>
                <w:vertAlign w:val="subscript"/>
              </w:rPr>
              <w:t>X</w:t>
            </w:r>
          </w:p>
        </w:tc>
        <w:tc>
          <w:tcPr>
            <w:tcW w:w="207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40</w:t>
            </w:r>
          </w:p>
        </w:tc>
      </w:tr>
      <w:tr w:rsidR="00A707D8" w:rsidRPr="005C0768" w:rsidTr="001A56C2">
        <w:trPr>
          <w:trHeight w:val="264"/>
          <w:jc w:val="center"/>
        </w:trPr>
        <w:tc>
          <w:tcPr>
            <w:tcW w:w="2757"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PM/PM</w:t>
            </w:r>
            <w:r w:rsidRPr="00861123">
              <w:rPr>
                <w:vertAlign w:val="subscript"/>
              </w:rPr>
              <w:t>10</w:t>
            </w:r>
            <w:r w:rsidRPr="00861123">
              <w:rPr>
                <w:color w:val="000000"/>
              </w:rPr>
              <w:t>/PM</w:t>
            </w:r>
            <w:r w:rsidRPr="00861123">
              <w:rPr>
                <w:color w:val="000000"/>
                <w:vertAlign w:val="subscript"/>
              </w:rPr>
              <w:t>2.5</w:t>
            </w:r>
          </w:p>
        </w:tc>
        <w:tc>
          <w:tcPr>
            <w:tcW w:w="216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25/15/10</w:t>
            </w:r>
          </w:p>
        </w:tc>
        <w:tc>
          <w:tcPr>
            <w:tcW w:w="2790"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 xml:space="preserve">Ozone (VOC) </w:t>
            </w:r>
            <w:r w:rsidRPr="00861123">
              <w:rPr>
                <w:b/>
                <w:color w:val="000000"/>
                <w:vertAlign w:val="superscript"/>
              </w:rPr>
              <w:t>2</w:t>
            </w:r>
          </w:p>
        </w:tc>
        <w:tc>
          <w:tcPr>
            <w:tcW w:w="207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40</w:t>
            </w:r>
          </w:p>
        </w:tc>
      </w:tr>
      <w:tr w:rsidR="00A707D8" w:rsidRPr="005C0768" w:rsidTr="001A56C2">
        <w:trPr>
          <w:trHeight w:val="264"/>
          <w:jc w:val="center"/>
        </w:trPr>
        <w:tc>
          <w:tcPr>
            <w:tcW w:w="2757"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PM</w:t>
            </w:r>
            <w:r w:rsidRPr="00861123">
              <w:rPr>
                <w:color w:val="000000"/>
                <w:vertAlign w:val="subscript"/>
              </w:rPr>
              <w:t>2.5</w:t>
            </w:r>
            <w:r w:rsidRPr="00861123">
              <w:rPr>
                <w:color w:val="000000"/>
              </w:rPr>
              <w:t xml:space="preserve"> (NO</w:t>
            </w:r>
            <w:r w:rsidRPr="00861123">
              <w:rPr>
                <w:vertAlign w:val="subscript"/>
              </w:rPr>
              <w:t>X</w:t>
            </w:r>
            <w:r w:rsidRPr="00861123">
              <w:rPr>
                <w:color w:val="000000"/>
              </w:rPr>
              <w:t>)</w:t>
            </w:r>
          </w:p>
        </w:tc>
        <w:tc>
          <w:tcPr>
            <w:tcW w:w="216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40</w:t>
            </w:r>
          </w:p>
        </w:tc>
        <w:tc>
          <w:tcPr>
            <w:tcW w:w="2790"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PM</w:t>
            </w:r>
            <w:r w:rsidRPr="00861123">
              <w:rPr>
                <w:color w:val="000000"/>
                <w:vertAlign w:val="subscript"/>
              </w:rPr>
              <w:t>2.5</w:t>
            </w:r>
            <w:r w:rsidRPr="00861123">
              <w:rPr>
                <w:color w:val="000000"/>
              </w:rPr>
              <w:t xml:space="preserve"> (SO</w:t>
            </w:r>
            <w:r w:rsidRPr="00861123">
              <w:rPr>
                <w:vertAlign w:val="subscript"/>
              </w:rPr>
              <w:t>2</w:t>
            </w:r>
            <w:r w:rsidRPr="00861123">
              <w:rPr>
                <w:color w:val="000000"/>
              </w:rPr>
              <w:t>)</w:t>
            </w:r>
          </w:p>
        </w:tc>
        <w:tc>
          <w:tcPr>
            <w:tcW w:w="207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40</w:t>
            </w:r>
          </w:p>
        </w:tc>
      </w:tr>
      <w:tr w:rsidR="00A707D8" w:rsidRPr="005C0768" w:rsidTr="001A56C2">
        <w:trPr>
          <w:trHeight w:val="246"/>
          <w:jc w:val="center"/>
        </w:trPr>
        <w:tc>
          <w:tcPr>
            <w:tcW w:w="2757"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Ozone (NO</w:t>
            </w:r>
            <w:r w:rsidRPr="00861123">
              <w:rPr>
                <w:vertAlign w:val="subscript"/>
              </w:rPr>
              <w:t>X</w:t>
            </w:r>
            <w:r w:rsidRPr="00861123">
              <w:rPr>
                <w:color w:val="000000"/>
              </w:rPr>
              <w:t xml:space="preserve">) </w:t>
            </w:r>
            <w:r w:rsidRPr="00861123">
              <w:rPr>
                <w:b/>
                <w:color w:val="000000"/>
                <w:vertAlign w:val="superscript"/>
              </w:rPr>
              <w:t>2</w:t>
            </w:r>
          </w:p>
        </w:tc>
        <w:tc>
          <w:tcPr>
            <w:tcW w:w="216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40</w:t>
            </w:r>
          </w:p>
        </w:tc>
        <w:tc>
          <w:tcPr>
            <w:tcW w:w="2790"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SAM</w:t>
            </w:r>
          </w:p>
        </w:tc>
        <w:tc>
          <w:tcPr>
            <w:tcW w:w="207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7</w:t>
            </w:r>
          </w:p>
        </w:tc>
      </w:tr>
      <w:tr w:rsidR="00A707D8" w:rsidRPr="005C0768" w:rsidTr="001A56C2">
        <w:trPr>
          <w:trHeight w:val="255"/>
          <w:jc w:val="center"/>
        </w:trPr>
        <w:tc>
          <w:tcPr>
            <w:tcW w:w="2757"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SO</w:t>
            </w:r>
            <w:r w:rsidRPr="00861123">
              <w:rPr>
                <w:color w:val="000000"/>
                <w:vertAlign w:val="subscript"/>
              </w:rPr>
              <w:t>2</w:t>
            </w:r>
          </w:p>
        </w:tc>
        <w:tc>
          <w:tcPr>
            <w:tcW w:w="216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40</w:t>
            </w:r>
          </w:p>
        </w:tc>
        <w:tc>
          <w:tcPr>
            <w:tcW w:w="2790"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Pb</w:t>
            </w:r>
          </w:p>
        </w:tc>
        <w:tc>
          <w:tcPr>
            <w:tcW w:w="207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0.6</w:t>
            </w:r>
          </w:p>
        </w:tc>
      </w:tr>
      <w:tr w:rsidR="00A707D8" w:rsidRPr="005C0768" w:rsidTr="001A56C2">
        <w:trPr>
          <w:trHeight w:val="255"/>
          <w:jc w:val="center"/>
        </w:trPr>
        <w:tc>
          <w:tcPr>
            <w:tcW w:w="2757"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Hg</w:t>
            </w:r>
          </w:p>
        </w:tc>
        <w:tc>
          <w:tcPr>
            <w:tcW w:w="216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 xml:space="preserve">0.1 </w:t>
            </w:r>
          </w:p>
        </w:tc>
        <w:tc>
          <w:tcPr>
            <w:tcW w:w="2790" w:type="dxa"/>
            <w:vAlign w:val="center"/>
          </w:tcPr>
          <w:p w:rsidR="00A707D8" w:rsidRPr="00861123" w:rsidRDefault="00285FB2" w:rsidP="00285FB2">
            <w:pPr>
              <w:autoSpaceDE w:val="0"/>
              <w:autoSpaceDN w:val="0"/>
              <w:adjustRightInd w:val="0"/>
              <w:spacing w:before="20" w:after="20"/>
              <w:rPr>
                <w:color w:val="000000"/>
              </w:rPr>
            </w:pPr>
            <w:r>
              <w:rPr>
                <w:color w:val="000000"/>
              </w:rPr>
              <w:t>Fluoride (F)</w:t>
            </w:r>
          </w:p>
        </w:tc>
        <w:tc>
          <w:tcPr>
            <w:tcW w:w="2070" w:type="dxa"/>
            <w:shd w:val="clear" w:color="auto" w:fill="D9E2F3"/>
            <w:vAlign w:val="center"/>
          </w:tcPr>
          <w:p w:rsidR="00A707D8" w:rsidRPr="00861123" w:rsidRDefault="00EF4AA2" w:rsidP="00E660CE">
            <w:pPr>
              <w:autoSpaceDE w:val="0"/>
              <w:autoSpaceDN w:val="0"/>
              <w:adjustRightInd w:val="0"/>
              <w:spacing w:before="20" w:after="20"/>
              <w:jc w:val="center"/>
              <w:rPr>
                <w:color w:val="000000"/>
                <w:vertAlign w:val="superscript"/>
              </w:rPr>
            </w:pPr>
            <w:r w:rsidRPr="00060D5C">
              <w:rPr>
                <w:color w:val="000000"/>
              </w:rPr>
              <w:t>3</w:t>
            </w:r>
          </w:p>
        </w:tc>
      </w:tr>
      <w:tr w:rsidR="00A707D8" w:rsidRPr="005C0768" w:rsidTr="001A56C2">
        <w:trPr>
          <w:trHeight w:val="255"/>
          <w:jc w:val="center"/>
        </w:trPr>
        <w:tc>
          <w:tcPr>
            <w:tcW w:w="2757" w:type="dxa"/>
            <w:vAlign w:val="center"/>
          </w:tcPr>
          <w:p w:rsidR="00A707D8" w:rsidRPr="00861123" w:rsidRDefault="00A707D8" w:rsidP="00285FB2">
            <w:pPr>
              <w:autoSpaceDE w:val="0"/>
              <w:autoSpaceDN w:val="0"/>
              <w:adjustRightInd w:val="0"/>
              <w:spacing w:before="20" w:after="20"/>
              <w:rPr>
                <w:color w:val="000000"/>
              </w:rPr>
            </w:pPr>
            <w:r w:rsidRPr="00861123">
              <w:rPr>
                <w:rFonts w:eastAsia="Calibri"/>
              </w:rPr>
              <w:t>MWC metals as PM</w:t>
            </w:r>
          </w:p>
        </w:tc>
        <w:tc>
          <w:tcPr>
            <w:tcW w:w="2160" w:type="dxa"/>
            <w:shd w:val="clear" w:color="auto" w:fill="D9E2F3"/>
            <w:vAlign w:val="center"/>
          </w:tcPr>
          <w:p w:rsidR="00A707D8" w:rsidRPr="00861123" w:rsidRDefault="00285FB2" w:rsidP="00E660CE">
            <w:pPr>
              <w:autoSpaceDE w:val="0"/>
              <w:autoSpaceDN w:val="0"/>
              <w:adjustRightInd w:val="0"/>
              <w:spacing w:before="20" w:after="20"/>
              <w:jc w:val="center"/>
              <w:rPr>
                <w:color w:val="000000"/>
              </w:rPr>
            </w:pPr>
            <w:r>
              <w:rPr>
                <w:color w:val="000000"/>
              </w:rPr>
              <w:t>15</w:t>
            </w:r>
          </w:p>
        </w:tc>
        <w:tc>
          <w:tcPr>
            <w:tcW w:w="2790" w:type="dxa"/>
            <w:vAlign w:val="center"/>
          </w:tcPr>
          <w:p w:rsidR="00A707D8" w:rsidRPr="00861123" w:rsidRDefault="00861123" w:rsidP="00285FB2">
            <w:pPr>
              <w:autoSpaceDE w:val="0"/>
              <w:autoSpaceDN w:val="0"/>
              <w:adjustRightInd w:val="0"/>
              <w:spacing w:before="20" w:after="20"/>
              <w:rPr>
                <w:color w:val="000000"/>
              </w:rPr>
            </w:pPr>
            <w:r w:rsidRPr="00861123">
              <w:rPr>
                <w:color w:val="000000"/>
              </w:rPr>
              <w:t>MWC acid gases as SO</w:t>
            </w:r>
            <w:r w:rsidRPr="00861123">
              <w:rPr>
                <w:color w:val="000000"/>
                <w:vertAlign w:val="subscript"/>
              </w:rPr>
              <w:t>2</w:t>
            </w:r>
            <w:r w:rsidRPr="00861123">
              <w:rPr>
                <w:color w:val="000000"/>
              </w:rPr>
              <w:t xml:space="preserve"> &amp; HCl</w:t>
            </w:r>
          </w:p>
        </w:tc>
        <w:tc>
          <w:tcPr>
            <w:tcW w:w="2070" w:type="dxa"/>
            <w:shd w:val="clear" w:color="auto" w:fill="D9E2F3"/>
            <w:vAlign w:val="center"/>
          </w:tcPr>
          <w:p w:rsidR="00A707D8" w:rsidRPr="00861123" w:rsidRDefault="00285FB2" w:rsidP="00E660CE">
            <w:pPr>
              <w:autoSpaceDE w:val="0"/>
              <w:autoSpaceDN w:val="0"/>
              <w:adjustRightInd w:val="0"/>
              <w:spacing w:before="20" w:after="20"/>
              <w:jc w:val="center"/>
              <w:rPr>
                <w:color w:val="000000"/>
              </w:rPr>
            </w:pPr>
            <w:r>
              <w:rPr>
                <w:color w:val="000000"/>
              </w:rPr>
              <w:t>40</w:t>
            </w:r>
          </w:p>
        </w:tc>
      </w:tr>
      <w:tr w:rsidR="00285FB2" w:rsidRPr="005C0768" w:rsidTr="001A56C2">
        <w:trPr>
          <w:trHeight w:val="255"/>
          <w:jc w:val="center"/>
        </w:trPr>
        <w:tc>
          <w:tcPr>
            <w:tcW w:w="2757" w:type="dxa"/>
            <w:vAlign w:val="center"/>
          </w:tcPr>
          <w:p w:rsidR="00285FB2" w:rsidRPr="00861123" w:rsidRDefault="00285FB2" w:rsidP="00285FB2">
            <w:pPr>
              <w:autoSpaceDE w:val="0"/>
              <w:autoSpaceDN w:val="0"/>
              <w:adjustRightInd w:val="0"/>
              <w:spacing w:before="20" w:after="20"/>
              <w:rPr>
                <w:rFonts w:eastAsia="Calibri"/>
              </w:rPr>
            </w:pPr>
            <w:r>
              <w:rPr>
                <w:rFonts w:eastAsia="Calibri"/>
              </w:rPr>
              <w:t>MWC organics as dioxin/furan</w:t>
            </w:r>
          </w:p>
        </w:tc>
        <w:tc>
          <w:tcPr>
            <w:tcW w:w="2160" w:type="dxa"/>
            <w:shd w:val="clear" w:color="auto" w:fill="D9E2F3"/>
            <w:vAlign w:val="center"/>
          </w:tcPr>
          <w:p w:rsidR="00285FB2" w:rsidRPr="00861123" w:rsidRDefault="00285FB2" w:rsidP="00285FB2">
            <w:pPr>
              <w:autoSpaceDE w:val="0"/>
              <w:autoSpaceDN w:val="0"/>
              <w:adjustRightInd w:val="0"/>
              <w:spacing w:before="20" w:after="20"/>
              <w:jc w:val="center"/>
              <w:rPr>
                <w:color w:val="000000"/>
              </w:rPr>
            </w:pPr>
            <w:r>
              <w:rPr>
                <w:color w:val="000000"/>
              </w:rPr>
              <w:t>3.5 x 10</w:t>
            </w:r>
            <w:r w:rsidRPr="00285FB2">
              <w:rPr>
                <w:color w:val="000000"/>
                <w:vertAlign w:val="superscript"/>
              </w:rPr>
              <w:t>-6</w:t>
            </w:r>
          </w:p>
        </w:tc>
        <w:tc>
          <w:tcPr>
            <w:tcW w:w="2790" w:type="dxa"/>
            <w:vAlign w:val="center"/>
          </w:tcPr>
          <w:p w:rsidR="00285FB2" w:rsidRPr="00861123" w:rsidRDefault="00285FB2" w:rsidP="00285FB2">
            <w:pPr>
              <w:autoSpaceDE w:val="0"/>
              <w:autoSpaceDN w:val="0"/>
              <w:adjustRightInd w:val="0"/>
              <w:spacing w:before="20" w:after="20"/>
              <w:rPr>
                <w:color w:val="000000"/>
              </w:rPr>
            </w:pPr>
            <w:r w:rsidRPr="00861123">
              <w:rPr>
                <w:color w:val="000000"/>
              </w:rPr>
              <w:t>GHGs</w:t>
            </w:r>
            <w:r>
              <w:rPr>
                <w:color w:val="000000"/>
              </w:rPr>
              <w:t xml:space="preserve"> (total mass basis)</w:t>
            </w:r>
          </w:p>
        </w:tc>
        <w:tc>
          <w:tcPr>
            <w:tcW w:w="2070" w:type="dxa"/>
            <w:shd w:val="clear" w:color="auto" w:fill="D9E2F3"/>
            <w:vAlign w:val="center"/>
          </w:tcPr>
          <w:p w:rsidR="00285FB2" w:rsidRPr="00861123" w:rsidRDefault="00285FB2" w:rsidP="00285FB2">
            <w:pPr>
              <w:autoSpaceDE w:val="0"/>
              <w:autoSpaceDN w:val="0"/>
              <w:adjustRightInd w:val="0"/>
              <w:spacing w:before="20" w:after="20"/>
              <w:jc w:val="center"/>
              <w:rPr>
                <w:color w:val="000000"/>
                <w:vertAlign w:val="superscript"/>
              </w:rPr>
            </w:pPr>
            <w:r w:rsidRPr="00861123">
              <w:rPr>
                <w:color w:val="000000"/>
              </w:rPr>
              <w:t xml:space="preserve">0 </w:t>
            </w:r>
            <w:r w:rsidRPr="00861123">
              <w:rPr>
                <w:b/>
                <w:color w:val="000000"/>
                <w:vertAlign w:val="superscript"/>
              </w:rPr>
              <w:t>3</w:t>
            </w:r>
          </w:p>
        </w:tc>
      </w:tr>
      <w:tr w:rsidR="00A707D8" w:rsidRPr="005C0768" w:rsidTr="001A56C2">
        <w:trPr>
          <w:trHeight w:val="311"/>
          <w:jc w:val="center"/>
        </w:trPr>
        <w:tc>
          <w:tcPr>
            <w:tcW w:w="9777" w:type="dxa"/>
            <w:gridSpan w:val="4"/>
            <w:hideMark/>
          </w:tcPr>
          <w:p w:rsidR="00A707D8" w:rsidRPr="00A707D8" w:rsidRDefault="00A707D8" w:rsidP="00A707D8">
            <w:pPr>
              <w:numPr>
                <w:ilvl w:val="0"/>
                <w:numId w:val="9"/>
              </w:numPr>
              <w:tabs>
                <w:tab w:val="clear" w:pos="1080"/>
                <w:tab w:val="num" w:pos="342"/>
              </w:tabs>
              <w:autoSpaceDE w:val="0"/>
              <w:autoSpaceDN w:val="0"/>
              <w:adjustRightInd w:val="0"/>
              <w:spacing w:before="20" w:after="20"/>
              <w:ind w:left="345" w:hanging="331"/>
              <w:rPr>
                <w:color w:val="000000"/>
                <w:sz w:val="18"/>
                <w:szCs w:val="18"/>
              </w:rPr>
            </w:pPr>
            <w:r w:rsidRPr="00A707D8">
              <w:rPr>
                <w:color w:val="000000"/>
                <w:sz w:val="18"/>
                <w:szCs w:val="18"/>
              </w:rPr>
              <w:t>Excluding pollutants specific to the Pulp and Paper industry and MSW landfills.</w:t>
            </w:r>
          </w:p>
          <w:p w:rsidR="00A707D8" w:rsidRPr="00A707D8" w:rsidRDefault="00A707D8" w:rsidP="00A707D8">
            <w:pPr>
              <w:numPr>
                <w:ilvl w:val="0"/>
                <w:numId w:val="9"/>
              </w:numPr>
              <w:tabs>
                <w:tab w:val="clear" w:pos="1080"/>
                <w:tab w:val="num" w:pos="342"/>
              </w:tabs>
              <w:autoSpaceDE w:val="0"/>
              <w:autoSpaceDN w:val="0"/>
              <w:adjustRightInd w:val="0"/>
              <w:spacing w:after="20"/>
              <w:ind w:left="342" w:hanging="328"/>
              <w:rPr>
                <w:color w:val="000000"/>
                <w:sz w:val="18"/>
                <w:szCs w:val="18"/>
              </w:rPr>
            </w:pPr>
            <w:r w:rsidRPr="00A707D8">
              <w:rPr>
                <w:color w:val="000000"/>
                <w:sz w:val="18"/>
                <w:szCs w:val="18"/>
              </w:rPr>
              <w:t>Ozone (O</w:t>
            </w:r>
            <w:r w:rsidRPr="00A707D8">
              <w:rPr>
                <w:color w:val="000000"/>
                <w:sz w:val="18"/>
                <w:szCs w:val="18"/>
                <w:vertAlign w:val="subscript"/>
              </w:rPr>
              <w:t>3</w:t>
            </w:r>
            <w:r w:rsidRPr="00A707D8">
              <w:rPr>
                <w:color w:val="000000"/>
                <w:sz w:val="18"/>
                <w:szCs w:val="18"/>
              </w:rPr>
              <w:t>) is regulated by its precursors (VOC and NO</w:t>
            </w:r>
            <w:r w:rsidRPr="00A707D8">
              <w:rPr>
                <w:color w:val="000000"/>
                <w:sz w:val="18"/>
                <w:szCs w:val="18"/>
                <w:vertAlign w:val="subscript"/>
              </w:rPr>
              <w:t>X</w:t>
            </w:r>
            <w:r w:rsidRPr="00A707D8">
              <w:rPr>
                <w:color w:val="000000"/>
                <w:sz w:val="18"/>
                <w:szCs w:val="18"/>
              </w:rPr>
              <w:t>).  PSD for PM</w:t>
            </w:r>
            <w:r w:rsidRPr="00A707D8">
              <w:rPr>
                <w:color w:val="000000"/>
                <w:sz w:val="18"/>
                <w:szCs w:val="18"/>
                <w:vertAlign w:val="subscript"/>
              </w:rPr>
              <w:t>2.5</w:t>
            </w:r>
            <w:r w:rsidRPr="00A707D8">
              <w:rPr>
                <w:color w:val="000000"/>
                <w:sz w:val="18"/>
                <w:szCs w:val="18"/>
              </w:rPr>
              <w:t xml:space="preserve"> can be triggered by its precursors (NO</w:t>
            </w:r>
            <w:r w:rsidRPr="00A707D8">
              <w:rPr>
                <w:color w:val="000000"/>
                <w:sz w:val="18"/>
                <w:szCs w:val="18"/>
                <w:vertAlign w:val="subscript"/>
              </w:rPr>
              <w:t>X</w:t>
            </w:r>
            <w:r w:rsidRPr="00A707D8">
              <w:rPr>
                <w:color w:val="000000"/>
                <w:sz w:val="18"/>
                <w:szCs w:val="18"/>
              </w:rPr>
              <w:t xml:space="preserve"> and SO</w:t>
            </w:r>
            <w:r w:rsidRPr="00A707D8">
              <w:rPr>
                <w:color w:val="000000"/>
                <w:sz w:val="18"/>
                <w:szCs w:val="18"/>
                <w:vertAlign w:val="subscript"/>
              </w:rPr>
              <w:t>2</w:t>
            </w:r>
            <w:r w:rsidRPr="00A707D8">
              <w:rPr>
                <w:color w:val="000000"/>
                <w:sz w:val="18"/>
                <w:szCs w:val="18"/>
              </w:rPr>
              <w:t>).</w:t>
            </w:r>
          </w:p>
          <w:p w:rsidR="00A707D8" w:rsidRPr="00A707D8" w:rsidRDefault="00A707D8" w:rsidP="00A707D8">
            <w:pPr>
              <w:numPr>
                <w:ilvl w:val="0"/>
                <w:numId w:val="9"/>
              </w:numPr>
              <w:tabs>
                <w:tab w:val="clear" w:pos="1080"/>
                <w:tab w:val="num" w:pos="342"/>
              </w:tabs>
              <w:autoSpaceDE w:val="0"/>
              <w:autoSpaceDN w:val="0"/>
              <w:adjustRightInd w:val="0"/>
              <w:spacing w:after="20"/>
              <w:ind w:left="345" w:hanging="331"/>
              <w:rPr>
                <w:color w:val="000000"/>
                <w:sz w:val="18"/>
                <w:szCs w:val="18"/>
              </w:rPr>
            </w:pPr>
            <w:r w:rsidRPr="00A707D8">
              <w:rPr>
                <w:color w:val="000000"/>
                <w:sz w:val="18"/>
                <w:szCs w:val="18"/>
              </w:rPr>
              <w:t>Pursuant to 40 CFR 52.21(b)(23)(ii), pollutants with no SER listed at 40 CFR 52.21(b)(23)(</w:t>
            </w:r>
            <w:proofErr w:type="spellStart"/>
            <w:r w:rsidRPr="00A707D8">
              <w:rPr>
                <w:color w:val="000000"/>
                <w:sz w:val="18"/>
                <w:szCs w:val="18"/>
              </w:rPr>
              <w:t>i</w:t>
            </w:r>
            <w:proofErr w:type="spellEnd"/>
            <w:r w:rsidRPr="00A707D8">
              <w:rPr>
                <w:color w:val="000000"/>
                <w:sz w:val="18"/>
                <w:szCs w:val="18"/>
              </w:rPr>
              <w:t>) have a SER of zero tons/year.</w:t>
            </w:r>
          </w:p>
          <w:p w:rsidR="00A707D8" w:rsidRPr="005C0768" w:rsidRDefault="00A707D8" w:rsidP="00EF4AA2">
            <w:pPr>
              <w:numPr>
                <w:ilvl w:val="0"/>
                <w:numId w:val="9"/>
              </w:numPr>
              <w:tabs>
                <w:tab w:val="clear" w:pos="1080"/>
                <w:tab w:val="num" w:pos="342"/>
              </w:tabs>
              <w:autoSpaceDE w:val="0"/>
              <w:autoSpaceDN w:val="0"/>
              <w:adjustRightInd w:val="0"/>
              <w:spacing w:after="20"/>
              <w:ind w:left="345" w:hanging="331"/>
              <w:rPr>
                <w:color w:val="000000"/>
                <w:sz w:val="16"/>
                <w:szCs w:val="16"/>
              </w:rPr>
            </w:pPr>
            <w:r w:rsidRPr="00A707D8">
              <w:rPr>
                <w:color w:val="000000"/>
                <w:sz w:val="18"/>
                <w:szCs w:val="18"/>
              </w:rPr>
              <w:t>SER also means any emissions rate or any net emissions increase associated with a major stationary source or major modification which would construct within 10 k</w:t>
            </w:r>
            <w:r w:rsidR="00EF4AA2">
              <w:rPr>
                <w:color w:val="000000"/>
                <w:sz w:val="18"/>
                <w:szCs w:val="18"/>
              </w:rPr>
              <w:t xml:space="preserve">m </w:t>
            </w:r>
            <w:r w:rsidRPr="00A707D8">
              <w:rPr>
                <w:color w:val="000000"/>
                <w:sz w:val="18"/>
                <w:szCs w:val="18"/>
              </w:rPr>
              <w:t>of a Class I area and have an impact on such area equal to or greater than 1 μg/m</w:t>
            </w:r>
            <w:r w:rsidRPr="00A707D8">
              <w:rPr>
                <w:color w:val="000000"/>
                <w:sz w:val="18"/>
                <w:szCs w:val="18"/>
                <w:vertAlign w:val="superscript"/>
              </w:rPr>
              <w:t>3</w:t>
            </w:r>
            <w:r w:rsidRPr="00A707D8">
              <w:rPr>
                <w:color w:val="000000"/>
                <w:sz w:val="18"/>
                <w:szCs w:val="18"/>
              </w:rPr>
              <w:t>, 24-hour average.</w:t>
            </w:r>
          </w:p>
        </w:tc>
      </w:tr>
    </w:tbl>
    <w:p w:rsidR="00861123" w:rsidRPr="00F15C32" w:rsidRDefault="00861123" w:rsidP="00F15C32">
      <w:pPr>
        <w:pStyle w:val="ListParagraph"/>
        <w:numPr>
          <w:ilvl w:val="1"/>
          <w:numId w:val="12"/>
        </w:numPr>
        <w:spacing w:before="120" w:after="120"/>
        <w:ind w:left="720" w:hanging="720"/>
        <w:contextualSpacing w:val="0"/>
        <w:rPr>
          <w:b/>
          <w:sz w:val="22"/>
        </w:rPr>
      </w:pPr>
      <w:r w:rsidRPr="00F15C32">
        <w:rPr>
          <w:b/>
          <w:sz w:val="22"/>
        </w:rPr>
        <w:t>Definition of Major Modification</w:t>
      </w:r>
    </w:p>
    <w:p w:rsidR="00861123" w:rsidRPr="00B15411" w:rsidRDefault="00861123" w:rsidP="00861123">
      <w:pPr>
        <w:autoSpaceDE w:val="0"/>
        <w:autoSpaceDN w:val="0"/>
        <w:adjustRightInd w:val="0"/>
        <w:spacing w:after="60"/>
        <w:rPr>
          <w:sz w:val="22"/>
          <w:szCs w:val="22"/>
        </w:rPr>
      </w:pPr>
      <w:r>
        <w:rPr>
          <w:sz w:val="22"/>
          <w:szCs w:val="22"/>
        </w:rPr>
        <w:t xml:space="preserve">“Major modifications” at major stationary sources are also subject to PSD review.  </w:t>
      </w:r>
      <w:r w:rsidRPr="00B15411">
        <w:rPr>
          <w:sz w:val="22"/>
          <w:szCs w:val="22"/>
        </w:rPr>
        <w:t xml:space="preserve">According to Rule </w:t>
      </w:r>
      <w:r>
        <w:rPr>
          <w:sz w:val="22"/>
          <w:szCs w:val="22"/>
        </w:rPr>
        <w:br/>
      </w:r>
      <w:r w:rsidRPr="00B15411">
        <w:rPr>
          <w:sz w:val="22"/>
          <w:szCs w:val="22"/>
        </w:rPr>
        <w:t xml:space="preserve">62-210.200(Definitions), F.A.C., Major Modification (of a </w:t>
      </w:r>
      <w:r>
        <w:rPr>
          <w:sz w:val="22"/>
          <w:szCs w:val="22"/>
        </w:rPr>
        <w:t xml:space="preserve">Major </w:t>
      </w:r>
      <w:r w:rsidRPr="00B15411">
        <w:rPr>
          <w:sz w:val="22"/>
          <w:szCs w:val="22"/>
        </w:rPr>
        <w:t>Stationary Source) is defined as follows:</w:t>
      </w:r>
    </w:p>
    <w:p w:rsidR="00861123" w:rsidRPr="00F3241A" w:rsidRDefault="00861123" w:rsidP="00861123">
      <w:pPr>
        <w:pStyle w:val="ListParagraph"/>
        <w:numPr>
          <w:ilvl w:val="0"/>
          <w:numId w:val="10"/>
        </w:numPr>
        <w:tabs>
          <w:tab w:val="left" w:pos="761"/>
        </w:tabs>
        <w:kinsoku w:val="0"/>
        <w:overflowPunct w:val="0"/>
        <w:autoSpaceDE w:val="0"/>
        <w:autoSpaceDN w:val="0"/>
        <w:adjustRightInd w:val="0"/>
        <w:spacing w:after="60"/>
        <w:ind w:left="360" w:right="117"/>
        <w:contextualSpacing w:val="0"/>
        <w:rPr>
          <w:sz w:val="22"/>
          <w:szCs w:val="22"/>
        </w:rPr>
      </w:pPr>
      <w:r w:rsidRPr="00F3241A">
        <w:rPr>
          <w:sz w:val="22"/>
          <w:szCs w:val="22"/>
        </w:rPr>
        <w:t>Any</w:t>
      </w:r>
      <w:r w:rsidRPr="00F3241A">
        <w:rPr>
          <w:spacing w:val="1"/>
          <w:sz w:val="22"/>
          <w:szCs w:val="22"/>
        </w:rPr>
        <w:t xml:space="preserve"> </w:t>
      </w:r>
      <w:r w:rsidRPr="00F3241A">
        <w:rPr>
          <w:sz w:val="22"/>
          <w:szCs w:val="22"/>
        </w:rPr>
        <w:t>physical</w:t>
      </w:r>
      <w:r w:rsidRPr="00F3241A">
        <w:rPr>
          <w:spacing w:val="3"/>
          <w:sz w:val="22"/>
          <w:szCs w:val="22"/>
        </w:rPr>
        <w:t xml:space="preserve"> </w:t>
      </w:r>
      <w:r w:rsidRPr="00F3241A">
        <w:rPr>
          <w:spacing w:val="-1"/>
          <w:sz w:val="22"/>
          <w:szCs w:val="22"/>
        </w:rPr>
        <w:t>change</w:t>
      </w:r>
      <w:r w:rsidRPr="00F3241A">
        <w:rPr>
          <w:spacing w:val="6"/>
          <w:sz w:val="22"/>
          <w:szCs w:val="22"/>
        </w:rPr>
        <w:t xml:space="preserve"> </w:t>
      </w:r>
      <w:r w:rsidRPr="00F3241A">
        <w:rPr>
          <w:spacing w:val="-1"/>
          <w:sz w:val="22"/>
          <w:szCs w:val="22"/>
        </w:rPr>
        <w:t>in</w:t>
      </w:r>
      <w:r w:rsidRPr="00F3241A">
        <w:rPr>
          <w:spacing w:val="4"/>
          <w:sz w:val="22"/>
          <w:szCs w:val="22"/>
        </w:rPr>
        <w:t xml:space="preserve"> </w:t>
      </w:r>
      <w:r w:rsidRPr="00F3241A">
        <w:rPr>
          <w:sz w:val="22"/>
          <w:szCs w:val="22"/>
        </w:rPr>
        <w:t>or</w:t>
      </w:r>
      <w:r w:rsidRPr="00F3241A">
        <w:rPr>
          <w:spacing w:val="3"/>
          <w:sz w:val="22"/>
          <w:szCs w:val="22"/>
        </w:rPr>
        <w:t xml:space="preserve"> </w:t>
      </w:r>
      <w:r w:rsidRPr="00F3241A">
        <w:rPr>
          <w:spacing w:val="-1"/>
          <w:sz w:val="22"/>
          <w:szCs w:val="22"/>
        </w:rPr>
        <w:t>change</w:t>
      </w:r>
      <w:r w:rsidRPr="00F3241A">
        <w:rPr>
          <w:spacing w:val="6"/>
          <w:sz w:val="22"/>
          <w:szCs w:val="22"/>
        </w:rPr>
        <w:t xml:space="preserve"> </w:t>
      </w:r>
      <w:r w:rsidRPr="00F3241A">
        <w:rPr>
          <w:spacing w:val="1"/>
          <w:sz w:val="22"/>
          <w:szCs w:val="22"/>
        </w:rPr>
        <w:t>in</w:t>
      </w:r>
      <w:r w:rsidRPr="00F3241A">
        <w:rPr>
          <w:spacing w:val="2"/>
          <w:sz w:val="22"/>
          <w:szCs w:val="22"/>
        </w:rPr>
        <w:t xml:space="preserve"> </w:t>
      </w:r>
      <w:r w:rsidRPr="00F3241A">
        <w:rPr>
          <w:sz w:val="22"/>
          <w:szCs w:val="22"/>
        </w:rPr>
        <w:t>the</w:t>
      </w:r>
      <w:r w:rsidRPr="00F3241A">
        <w:rPr>
          <w:spacing w:val="5"/>
          <w:sz w:val="22"/>
          <w:szCs w:val="22"/>
        </w:rPr>
        <w:t xml:space="preserve"> </w:t>
      </w:r>
      <w:r w:rsidRPr="00F3241A">
        <w:rPr>
          <w:spacing w:val="-1"/>
          <w:sz w:val="22"/>
          <w:szCs w:val="22"/>
        </w:rPr>
        <w:t>method</w:t>
      </w:r>
      <w:r w:rsidRPr="00F3241A">
        <w:rPr>
          <w:spacing w:val="4"/>
          <w:sz w:val="22"/>
          <w:szCs w:val="22"/>
        </w:rPr>
        <w:t xml:space="preserve"> </w:t>
      </w:r>
      <w:r w:rsidRPr="00F3241A">
        <w:rPr>
          <w:sz w:val="22"/>
          <w:szCs w:val="22"/>
        </w:rPr>
        <w:t>of</w:t>
      </w:r>
      <w:r w:rsidRPr="00F3241A">
        <w:rPr>
          <w:spacing w:val="4"/>
          <w:sz w:val="22"/>
          <w:szCs w:val="22"/>
        </w:rPr>
        <w:t xml:space="preserve"> </w:t>
      </w:r>
      <w:r w:rsidRPr="00F3241A">
        <w:rPr>
          <w:sz w:val="22"/>
          <w:szCs w:val="22"/>
        </w:rPr>
        <w:t>operation</w:t>
      </w:r>
      <w:r w:rsidRPr="00F3241A">
        <w:rPr>
          <w:spacing w:val="2"/>
          <w:sz w:val="22"/>
          <w:szCs w:val="22"/>
        </w:rPr>
        <w:t xml:space="preserve"> </w:t>
      </w:r>
      <w:r w:rsidRPr="00F3241A">
        <w:rPr>
          <w:sz w:val="22"/>
          <w:szCs w:val="22"/>
        </w:rPr>
        <w:t>of</w:t>
      </w:r>
      <w:r w:rsidRPr="00F3241A">
        <w:rPr>
          <w:spacing w:val="4"/>
          <w:sz w:val="22"/>
          <w:szCs w:val="22"/>
        </w:rPr>
        <w:t xml:space="preserve"> </w:t>
      </w:r>
      <w:r w:rsidRPr="00F3241A">
        <w:rPr>
          <w:sz w:val="22"/>
          <w:szCs w:val="22"/>
        </w:rPr>
        <w:t>a</w:t>
      </w:r>
      <w:r w:rsidRPr="00F3241A">
        <w:rPr>
          <w:spacing w:val="5"/>
          <w:sz w:val="22"/>
          <w:szCs w:val="22"/>
        </w:rPr>
        <w:t xml:space="preserve"> </w:t>
      </w:r>
      <w:r w:rsidRPr="00F3241A">
        <w:rPr>
          <w:sz w:val="22"/>
          <w:szCs w:val="22"/>
        </w:rPr>
        <w:t>major</w:t>
      </w:r>
      <w:r w:rsidRPr="00F3241A">
        <w:rPr>
          <w:spacing w:val="4"/>
          <w:sz w:val="22"/>
          <w:szCs w:val="22"/>
        </w:rPr>
        <w:t xml:space="preserve"> </w:t>
      </w:r>
      <w:r w:rsidRPr="00F3241A">
        <w:rPr>
          <w:spacing w:val="-1"/>
          <w:sz w:val="22"/>
          <w:szCs w:val="22"/>
        </w:rPr>
        <w:t>stationary</w:t>
      </w:r>
      <w:r w:rsidRPr="00F3241A">
        <w:rPr>
          <w:spacing w:val="4"/>
          <w:sz w:val="22"/>
          <w:szCs w:val="22"/>
        </w:rPr>
        <w:t xml:space="preserve"> </w:t>
      </w:r>
      <w:r w:rsidRPr="00F3241A">
        <w:rPr>
          <w:spacing w:val="-1"/>
          <w:sz w:val="22"/>
          <w:szCs w:val="22"/>
        </w:rPr>
        <w:t>source</w:t>
      </w:r>
      <w:r w:rsidRPr="00F3241A">
        <w:rPr>
          <w:spacing w:val="2"/>
          <w:sz w:val="22"/>
          <w:szCs w:val="22"/>
        </w:rPr>
        <w:t xml:space="preserve"> </w:t>
      </w:r>
      <w:r w:rsidRPr="00F3241A">
        <w:rPr>
          <w:sz w:val="22"/>
          <w:szCs w:val="22"/>
        </w:rPr>
        <w:t>that</w:t>
      </w:r>
      <w:r w:rsidRPr="00F3241A">
        <w:rPr>
          <w:spacing w:val="5"/>
          <w:sz w:val="22"/>
          <w:szCs w:val="22"/>
        </w:rPr>
        <w:t xml:space="preserve"> </w:t>
      </w:r>
      <w:r w:rsidRPr="00F3241A">
        <w:rPr>
          <w:spacing w:val="-1"/>
          <w:sz w:val="22"/>
          <w:szCs w:val="22"/>
        </w:rPr>
        <w:t>would</w:t>
      </w:r>
      <w:r w:rsidRPr="00F3241A">
        <w:rPr>
          <w:spacing w:val="4"/>
          <w:sz w:val="22"/>
          <w:szCs w:val="22"/>
        </w:rPr>
        <w:t xml:space="preserve"> </w:t>
      </w:r>
      <w:r w:rsidRPr="00F3241A">
        <w:rPr>
          <w:spacing w:val="-1"/>
          <w:sz w:val="22"/>
          <w:szCs w:val="22"/>
        </w:rPr>
        <w:t>result in</w:t>
      </w:r>
      <w:r w:rsidRPr="00F3241A">
        <w:rPr>
          <w:spacing w:val="1"/>
          <w:sz w:val="22"/>
          <w:szCs w:val="22"/>
        </w:rPr>
        <w:t xml:space="preserve"> </w:t>
      </w:r>
      <w:r w:rsidRPr="00F3241A">
        <w:rPr>
          <w:sz w:val="22"/>
          <w:szCs w:val="22"/>
        </w:rPr>
        <w:t>a</w:t>
      </w:r>
      <w:r w:rsidRPr="00F3241A">
        <w:rPr>
          <w:spacing w:val="2"/>
          <w:sz w:val="22"/>
          <w:szCs w:val="22"/>
        </w:rPr>
        <w:t xml:space="preserve"> </w:t>
      </w:r>
      <w:r w:rsidRPr="00F3241A">
        <w:rPr>
          <w:spacing w:val="-1"/>
          <w:sz w:val="22"/>
          <w:szCs w:val="22"/>
        </w:rPr>
        <w:t>significant</w:t>
      </w:r>
      <w:r w:rsidRPr="00F3241A">
        <w:rPr>
          <w:spacing w:val="3"/>
          <w:sz w:val="22"/>
          <w:szCs w:val="22"/>
        </w:rPr>
        <w:t xml:space="preserve"> </w:t>
      </w:r>
      <w:r w:rsidRPr="00F3241A">
        <w:rPr>
          <w:spacing w:val="-1"/>
          <w:sz w:val="22"/>
          <w:szCs w:val="22"/>
        </w:rPr>
        <w:t>emissions</w:t>
      </w:r>
      <w:r w:rsidRPr="00F3241A">
        <w:rPr>
          <w:spacing w:val="1"/>
          <w:sz w:val="22"/>
          <w:szCs w:val="22"/>
        </w:rPr>
        <w:t xml:space="preserve"> </w:t>
      </w:r>
      <w:r w:rsidRPr="00F3241A">
        <w:rPr>
          <w:spacing w:val="-1"/>
          <w:sz w:val="22"/>
          <w:szCs w:val="22"/>
        </w:rPr>
        <w:t>increase</w:t>
      </w:r>
      <w:r w:rsidRPr="00F3241A">
        <w:rPr>
          <w:spacing w:val="2"/>
          <w:sz w:val="22"/>
          <w:szCs w:val="22"/>
        </w:rPr>
        <w:t xml:space="preserve"> </w:t>
      </w:r>
      <w:r w:rsidRPr="00F3241A">
        <w:rPr>
          <w:sz w:val="22"/>
          <w:szCs w:val="22"/>
        </w:rPr>
        <w:t>of</w:t>
      </w:r>
      <w:r w:rsidRPr="00F3241A">
        <w:rPr>
          <w:spacing w:val="2"/>
          <w:sz w:val="22"/>
          <w:szCs w:val="22"/>
        </w:rPr>
        <w:t xml:space="preserve"> </w:t>
      </w:r>
      <w:r w:rsidRPr="00F3241A">
        <w:rPr>
          <w:sz w:val="22"/>
          <w:szCs w:val="22"/>
        </w:rPr>
        <w:t>a</w:t>
      </w:r>
      <w:r w:rsidRPr="00F3241A">
        <w:rPr>
          <w:spacing w:val="2"/>
          <w:sz w:val="22"/>
          <w:szCs w:val="22"/>
        </w:rPr>
        <w:t xml:space="preserve"> </w:t>
      </w:r>
      <w:r w:rsidRPr="00F3241A">
        <w:rPr>
          <w:sz w:val="22"/>
          <w:szCs w:val="22"/>
        </w:rPr>
        <w:t>PSD</w:t>
      </w:r>
      <w:r w:rsidRPr="00F3241A">
        <w:rPr>
          <w:spacing w:val="3"/>
          <w:sz w:val="22"/>
          <w:szCs w:val="22"/>
        </w:rPr>
        <w:t xml:space="preserve"> </w:t>
      </w:r>
      <w:r w:rsidRPr="00F3241A">
        <w:rPr>
          <w:spacing w:val="-1"/>
          <w:sz w:val="22"/>
          <w:szCs w:val="22"/>
        </w:rPr>
        <w:t>pollutant</w:t>
      </w:r>
      <w:r w:rsidRPr="00F3241A">
        <w:rPr>
          <w:spacing w:val="2"/>
          <w:sz w:val="22"/>
          <w:szCs w:val="22"/>
        </w:rPr>
        <w:t xml:space="preserve"> </w:t>
      </w:r>
      <w:r w:rsidRPr="00F3241A">
        <w:rPr>
          <w:spacing w:val="-1"/>
          <w:sz w:val="22"/>
          <w:szCs w:val="22"/>
        </w:rPr>
        <w:t>and</w:t>
      </w:r>
      <w:r w:rsidRPr="00F3241A">
        <w:rPr>
          <w:spacing w:val="3"/>
          <w:sz w:val="22"/>
          <w:szCs w:val="22"/>
        </w:rPr>
        <w:t xml:space="preserve"> </w:t>
      </w:r>
      <w:r w:rsidRPr="00F3241A">
        <w:rPr>
          <w:sz w:val="22"/>
          <w:szCs w:val="22"/>
        </w:rPr>
        <w:t>a</w:t>
      </w:r>
      <w:r w:rsidRPr="00F3241A">
        <w:rPr>
          <w:spacing w:val="2"/>
          <w:sz w:val="22"/>
          <w:szCs w:val="22"/>
        </w:rPr>
        <w:t xml:space="preserve"> </w:t>
      </w:r>
      <w:r w:rsidRPr="00F3241A">
        <w:rPr>
          <w:spacing w:val="-1"/>
          <w:sz w:val="22"/>
          <w:szCs w:val="22"/>
        </w:rPr>
        <w:t>significant</w:t>
      </w:r>
      <w:r w:rsidRPr="00F3241A">
        <w:rPr>
          <w:spacing w:val="3"/>
          <w:sz w:val="22"/>
          <w:szCs w:val="22"/>
        </w:rPr>
        <w:t xml:space="preserve"> </w:t>
      </w:r>
      <w:r w:rsidRPr="00F3241A">
        <w:rPr>
          <w:spacing w:val="-1"/>
          <w:sz w:val="22"/>
          <w:szCs w:val="22"/>
        </w:rPr>
        <w:t>net</w:t>
      </w:r>
      <w:r w:rsidRPr="00F3241A">
        <w:rPr>
          <w:spacing w:val="2"/>
          <w:sz w:val="22"/>
          <w:szCs w:val="22"/>
        </w:rPr>
        <w:t xml:space="preserve"> </w:t>
      </w:r>
      <w:r w:rsidRPr="00F3241A">
        <w:rPr>
          <w:spacing w:val="-1"/>
          <w:sz w:val="22"/>
          <w:szCs w:val="22"/>
        </w:rPr>
        <w:t>emissions</w:t>
      </w:r>
      <w:r w:rsidRPr="00F3241A">
        <w:rPr>
          <w:spacing w:val="2"/>
          <w:sz w:val="22"/>
          <w:szCs w:val="22"/>
        </w:rPr>
        <w:t xml:space="preserve"> </w:t>
      </w:r>
      <w:r w:rsidRPr="00F3241A">
        <w:rPr>
          <w:sz w:val="22"/>
          <w:szCs w:val="22"/>
        </w:rPr>
        <w:t>increase</w:t>
      </w:r>
      <w:r w:rsidRPr="00F3241A">
        <w:rPr>
          <w:spacing w:val="2"/>
          <w:sz w:val="22"/>
          <w:szCs w:val="22"/>
        </w:rPr>
        <w:t xml:space="preserve"> </w:t>
      </w:r>
      <w:r w:rsidRPr="00F3241A">
        <w:rPr>
          <w:sz w:val="22"/>
          <w:szCs w:val="22"/>
        </w:rPr>
        <w:t>of</w:t>
      </w:r>
      <w:r w:rsidRPr="00F3241A">
        <w:rPr>
          <w:spacing w:val="1"/>
          <w:sz w:val="22"/>
          <w:szCs w:val="22"/>
        </w:rPr>
        <w:t xml:space="preserve"> </w:t>
      </w:r>
      <w:r w:rsidRPr="00F3241A">
        <w:rPr>
          <w:spacing w:val="-1"/>
          <w:sz w:val="22"/>
          <w:szCs w:val="22"/>
        </w:rPr>
        <w:t>that</w:t>
      </w:r>
      <w:r w:rsidRPr="00F3241A">
        <w:rPr>
          <w:spacing w:val="3"/>
          <w:sz w:val="22"/>
          <w:szCs w:val="22"/>
        </w:rPr>
        <w:t xml:space="preserve"> </w:t>
      </w:r>
      <w:r w:rsidRPr="00F3241A">
        <w:rPr>
          <w:spacing w:val="-1"/>
          <w:sz w:val="22"/>
          <w:szCs w:val="22"/>
        </w:rPr>
        <w:t>pollutant</w:t>
      </w:r>
      <w:r w:rsidRPr="00F3241A">
        <w:rPr>
          <w:spacing w:val="2"/>
          <w:sz w:val="22"/>
          <w:szCs w:val="22"/>
        </w:rPr>
        <w:t xml:space="preserve"> </w:t>
      </w:r>
      <w:r w:rsidRPr="00F3241A">
        <w:rPr>
          <w:sz w:val="22"/>
          <w:szCs w:val="22"/>
        </w:rPr>
        <w:t>from</w:t>
      </w:r>
      <w:r>
        <w:rPr>
          <w:spacing w:val="101"/>
          <w:w w:val="99"/>
          <w:sz w:val="22"/>
          <w:szCs w:val="22"/>
        </w:rPr>
        <w:t xml:space="preserve"> </w:t>
      </w:r>
      <w:r w:rsidRPr="00F3241A">
        <w:rPr>
          <w:spacing w:val="-1"/>
          <w:sz w:val="22"/>
          <w:szCs w:val="22"/>
        </w:rPr>
        <w:t>the</w:t>
      </w:r>
      <w:r w:rsidRPr="00F3241A">
        <w:rPr>
          <w:spacing w:val="-5"/>
          <w:sz w:val="22"/>
          <w:szCs w:val="22"/>
        </w:rPr>
        <w:t xml:space="preserve"> </w:t>
      </w:r>
      <w:r w:rsidRPr="00F3241A">
        <w:rPr>
          <w:spacing w:val="-1"/>
          <w:sz w:val="22"/>
          <w:szCs w:val="22"/>
        </w:rPr>
        <w:t>major</w:t>
      </w:r>
      <w:r w:rsidRPr="00F3241A">
        <w:rPr>
          <w:spacing w:val="-6"/>
          <w:sz w:val="22"/>
          <w:szCs w:val="22"/>
        </w:rPr>
        <w:t xml:space="preserve"> </w:t>
      </w:r>
      <w:r w:rsidRPr="00F3241A">
        <w:rPr>
          <w:spacing w:val="-1"/>
          <w:sz w:val="22"/>
          <w:szCs w:val="22"/>
        </w:rPr>
        <w:t>stationary</w:t>
      </w:r>
      <w:r w:rsidRPr="00F3241A">
        <w:rPr>
          <w:spacing w:val="-7"/>
          <w:sz w:val="22"/>
          <w:szCs w:val="22"/>
        </w:rPr>
        <w:t xml:space="preserve"> </w:t>
      </w:r>
      <w:r w:rsidRPr="00F3241A">
        <w:rPr>
          <w:spacing w:val="-1"/>
          <w:sz w:val="22"/>
          <w:szCs w:val="22"/>
        </w:rPr>
        <w:t>source.</w:t>
      </w:r>
      <w:r>
        <w:rPr>
          <w:spacing w:val="-1"/>
          <w:sz w:val="22"/>
          <w:szCs w:val="22"/>
        </w:rPr>
        <w:t xml:space="preserve">  (Refer to </w:t>
      </w:r>
      <w:r w:rsidR="001A56C2" w:rsidRPr="001A56C2">
        <w:rPr>
          <w:b/>
          <w:spacing w:val="-1"/>
          <w:sz w:val="22"/>
          <w:szCs w:val="22"/>
        </w:rPr>
        <w:fldChar w:fldCharType="begin"/>
      </w:r>
      <w:r w:rsidR="001A56C2" w:rsidRPr="001A56C2">
        <w:rPr>
          <w:b/>
          <w:spacing w:val="-1"/>
          <w:sz w:val="22"/>
          <w:szCs w:val="22"/>
        </w:rPr>
        <w:instrText xml:space="preserve"> REF _Ref394052263 \h  \* MERGEFORMAT </w:instrText>
      </w:r>
      <w:r w:rsidR="001A56C2" w:rsidRPr="001A56C2">
        <w:rPr>
          <w:b/>
          <w:spacing w:val="-1"/>
          <w:sz w:val="22"/>
          <w:szCs w:val="22"/>
        </w:rPr>
      </w:r>
      <w:r w:rsidR="001A56C2" w:rsidRPr="001A56C2">
        <w:rPr>
          <w:b/>
          <w:spacing w:val="-1"/>
          <w:sz w:val="22"/>
          <w:szCs w:val="22"/>
        </w:rPr>
        <w:fldChar w:fldCharType="separate"/>
      </w:r>
      <w:r w:rsidR="00AF1F1C" w:rsidRPr="00AF1F1C">
        <w:rPr>
          <w:b/>
          <w:sz w:val="22"/>
          <w:szCs w:val="22"/>
        </w:rPr>
        <w:t xml:space="preserve">Table </w:t>
      </w:r>
      <w:r w:rsidR="00AF1F1C" w:rsidRPr="00AF1F1C">
        <w:rPr>
          <w:b/>
          <w:noProof/>
          <w:sz w:val="22"/>
          <w:szCs w:val="22"/>
        </w:rPr>
        <w:t>1</w:t>
      </w:r>
      <w:r w:rsidR="001A56C2" w:rsidRPr="001A56C2">
        <w:rPr>
          <w:b/>
          <w:spacing w:val="-1"/>
          <w:sz w:val="22"/>
          <w:szCs w:val="22"/>
        </w:rPr>
        <w:fldChar w:fldCharType="end"/>
      </w:r>
      <w:r w:rsidR="001A56C2">
        <w:rPr>
          <w:spacing w:val="-1"/>
          <w:sz w:val="22"/>
          <w:szCs w:val="22"/>
        </w:rPr>
        <w:t xml:space="preserve"> </w:t>
      </w:r>
      <w:r>
        <w:rPr>
          <w:spacing w:val="-1"/>
          <w:sz w:val="22"/>
          <w:szCs w:val="22"/>
        </w:rPr>
        <w:t xml:space="preserve">above) </w:t>
      </w:r>
    </w:p>
    <w:p w:rsidR="00861123" w:rsidRPr="00B15411" w:rsidRDefault="00861123" w:rsidP="00861123">
      <w:pPr>
        <w:pStyle w:val="ListParagraph"/>
        <w:numPr>
          <w:ilvl w:val="0"/>
          <w:numId w:val="10"/>
        </w:numPr>
        <w:tabs>
          <w:tab w:val="left" w:pos="773"/>
        </w:tabs>
        <w:kinsoku w:val="0"/>
        <w:overflowPunct w:val="0"/>
        <w:autoSpaceDE w:val="0"/>
        <w:autoSpaceDN w:val="0"/>
        <w:adjustRightInd w:val="0"/>
        <w:spacing w:after="60"/>
        <w:ind w:left="360" w:right="121"/>
        <w:contextualSpacing w:val="0"/>
        <w:rPr>
          <w:sz w:val="22"/>
          <w:szCs w:val="22"/>
        </w:rPr>
      </w:pPr>
      <w:r w:rsidRPr="00B15411">
        <w:rPr>
          <w:spacing w:val="-1"/>
          <w:sz w:val="22"/>
          <w:szCs w:val="22"/>
        </w:rPr>
        <w:t>Any</w:t>
      </w:r>
      <w:r w:rsidRPr="00B15411">
        <w:rPr>
          <w:spacing w:val="2"/>
          <w:sz w:val="22"/>
          <w:szCs w:val="22"/>
        </w:rPr>
        <w:t xml:space="preserve"> </w:t>
      </w:r>
      <w:r w:rsidRPr="00B15411">
        <w:rPr>
          <w:spacing w:val="-1"/>
          <w:sz w:val="22"/>
          <w:szCs w:val="22"/>
        </w:rPr>
        <w:t>significant</w:t>
      </w:r>
      <w:r w:rsidRPr="00B15411">
        <w:rPr>
          <w:spacing w:val="4"/>
          <w:sz w:val="22"/>
          <w:szCs w:val="22"/>
        </w:rPr>
        <w:t xml:space="preserve"> </w:t>
      </w:r>
      <w:r w:rsidRPr="00B15411">
        <w:rPr>
          <w:spacing w:val="-1"/>
          <w:sz w:val="22"/>
          <w:szCs w:val="22"/>
        </w:rPr>
        <w:t>emissions</w:t>
      </w:r>
      <w:r w:rsidRPr="00B15411">
        <w:rPr>
          <w:spacing w:val="6"/>
          <w:sz w:val="22"/>
          <w:szCs w:val="22"/>
        </w:rPr>
        <w:t xml:space="preserve"> </w:t>
      </w:r>
      <w:r w:rsidRPr="00B15411">
        <w:rPr>
          <w:spacing w:val="-1"/>
          <w:sz w:val="22"/>
          <w:szCs w:val="22"/>
        </w:rPr>
        <w:t>increase</w:t>
      </w:r>
      <w:r w:rsidRPr="00B15411">
        <w:rPr>
          <w:spacing w:val="4"/>
          <w:sz w:val="22"/>
          <w:szCs w:val="22"/>
        </w:rPr>
        <w:t xml:space="preserve"> </w:t>
      </w:r>
      <w:r w:rsidRPr="00B15411">
        <w:rPr>
          <w:sz w:val="22"/>
          <w:szCs w:val="22"/>
        </w:rPr>
        <w:t>from</w:t>
      </w:r>
      <w:r w:rsidRPr="00B15411">
        <w:rPr>
          <w:spacing w:val="1"/>
          <w:sz w:val="22"/>
          <w:szCs w:val="22"/>
        </w:rPr>
        <w:t xml:space="preserve"> </w:t>
      </w:r>
      <w:r w:rsidRPr="00B15411">
        <w:rPr>
          <w:sz w:val="22"/>
          <w:szCs w:val="22"/>
        </w:rPr>
        <w:t>any</w:t>
      </w:r>
      <w:r w:rsidRPr="00B15411">
        <w:rPr>
          <w:spacing w:val="1"/>
          <w:sz w:val="22"/>
          <w:szCs w:val="22"/>
        </w:rPr>
        <w:t xml:space="preserve"> </w:t>
      </w:r>
      <w:r w:rsidRPr="00B15411">
        <w:rPr>
          <w:sz w:val="22"/>
          <w:szCs w:val="22"/>
        </w:rPr>
        <w:t>emissions</w:t>
      </w:r>
      <w:r w:rsidRPr="00B15411">
        <w:rPr>
          <w:spacing w:val="4"/>
          <w:sz w:val="22"/>
          <w:szCs w:val="22"/>
        </w:rPr>
        <w:t xml:space="preserve"> </w:t>
      </w:r>
      <w:r w:rsidRPr="00B15411">
        <w:rPr>
          <w:spacing w:val="-1"/>
          <w:sz w:val="22"/>
          <w:szCs w:val="22"/>
        </w:rPr>
        <w:t>units</w:t>
      </w:r>
      <w:r w:rsidRPr="00B15411">
        <w:rPr>
          <w:spacing w:val="4"/>
          <w:sz w:val="22"/>
          <w:szCs w:val="22"/>
        </w:rPr>
        <w:t xml:space="preserve"> </w:t>
      </w:r>
      <w:r w:rsidRPr="00B15411">
        <w:rPr>
          <w:sz w:val="22"/>
          <w:szCs w:val="22"/>
        </w:rPr>
        <w:t>or</w:t>
      </w:r>
      <w:r w:rsidRPr="00B15411">
        <w:rPr>
          <w:spacing w:val="3"/>
          <w:sz w:val="22"/>
          <w:szCs w:val="22"/>
        </w:rPr>
        <w:t xml:space="preserve"> </w:t>
      </w:r>
      <w:r w:rsidRPr="00B15411">
        <w:rPr>
          <w:spacing w:val="-1"/>
          <w:sz w:val="22"/>
          <w:szCs w:val="22"/>
        </w:rPr>
        <w:t>net</w:t>
      </w:r>
      <w:r w:rsidRPr="00B15411">
        <w:rPr>
          <w:spacing w:val="3"/>
          <w:sz w:val="22"/>
          <w:szCs w:val="22"/>
        </w:rPr>
        <w:t xml:space="preserve"> </w:t>
      </w:r>
      <w:r w:rsidRPr="00B15411">
        <w:rPr>
          <w:spacing w:val="-1"/>
          <w:sz w:val="22"/>
          <w:szCs w:val="22"/>
        </w:rPr>
        <w:t>emissions</w:t>
      </w:r>
      <w:r w:rsidRPr="00B15411">
        <w:rPr>
          <w:spacing w:val="4"/>
          <w:sz w:val="22"/>
          <w:szCs w:val="22"/>
        </w:rPr>
        <w:t xml:space="preserve"> </w:t>
      </w:r>
      <w:r w:rsidRPr="00B15411">
        <w:rPr>
          <w:spacing w:val="-1"/>
          <w:sz w:val="22"/>
          <w:szCs w:val="22"/>
        </w:rPr>
        <w:t>increase</w:t>
      </w:r>
      <w:r w:rsidRPr="00B15411">
        <w:rPr>
          <w:spacing w:val="5"/>
          <w:sz w:val="22"/>
          <w:szCs w:val="22"/>
        </w:rPr>
        <w:t xml:space="preserve"> </w:t>
      </w:r>
      <w:r w:rsidRPr="00B15411">
        <w:rPr>
          <w:sz w:val="22"/>
          <w:szCs w:val="22"/>
        </w:rPr>
        <w:t>at</w:t>
      </w:r>
      <w:r w:rsidRPr="00B15411">
        <w:rPr>
          <w:spacing w:val="2"/>
          <w:sz w:val="22"/>
          <w:szCs w:val="22"/>
        </w:rPr>
        <w:t xml:space="preserve"> </w:t>
      </w:r>
      <w:r w:rsidRPr="00B15411">
        <w:rPr>
          <w:sz w:val="22"/>
          <w:szCs w:val="22"/>
        </w:rPr>
        <w:t>a</w:t>
      </w:r>
      <w:r w:rsidRPr="00B15411">
        <w:rPr>
          <w:spacing w:val="4"/>
          <w:sz w:val="22"/>
          <w:szCs w:val="22"/>
        </w:rPr>
        <w:t xml:space="preserve"> </w:t>
      </w:r>
      <w:r w:rsidRPr="00B15411">
        <w:rPr>
          <w:sz w:val="22"/>
          <w:szCs w:val="22"/>
        </w:rPr>
        <w:t>major</w:t>
      </w:r>
      <w:r w:rsidRPr="00B15411">
        <w:rPr>
          <w:spacing w:val="3"/>
          <w:sz w:val="22"/>
          <w:szCs w:val="22"/>
        </w:rPr>
        <w:t xml:space="preserve"> </w:t>
      </w:r>
      <w:r w:rsidRPr="00B15411">
        <w:rPr>
          <w:spacing w:val="-1"/>
          <w:sz w:val="22"/>
          <w:szCs w:val="22"/>
        </w:rPr>
        <w:t>stationary</w:t>
      </w:r>
      <w:r w:rsidRPr="00B15411">
        <w:rPr>
          <w:spacing w:val="93"/>
          <w:w w:val="99"/>
          <w:sz w:val="22"/>
          <w:szCs w:val="22"/>
        </w:rPr>
        <w:t xml:space="preserve"> </w:t>
      </w:r>
      <w:r w:rsidRPr="00B15411">
        <w:rPr>
          <w:spacing w:val="-1"/>
          <w:sz w:val="22"/>
          <w:szCs w:val="22"/>
        </w:rPr>
        <w:t>source</w:t>
      </w:r>
      <w:r w:rsidRPr="00B15411">
        <w:rPr>
          <w:spacing w:val="-6"/>
          <w:sz w:val="22"/>
          <w:szCs w:val="22"/>
        </w:rPr>
        <w:t xml:space="preserve"> </w:t>
      </w:r>
      <w:r w:rsidRPr="00B15411">
        <w:rPr>
          <w:spacing w:val="-1"/>
          <w:sz w:val="22"/>
          <w:szCs w:val="22"/>
        </w:rPr>
        <w:t>that</w:t>
      </w:r>
      <w:r w:rsidRPr="00B15411">
        <w:rPr>
          <w:spacing w:val="-5"/>
          <w:sz w:val="22"/>
          <w:szCs w:val="22"/>
        </w:rPr>
        <w:t xml:space="preserve"> </w:t>
      </w:r>
      <w:r w:rsidRPr="00B15411">
        <w:rPr>
          <w:spacing w:val="1"/>
          <w:sz w:val="22"/>
          <w:szCs w:val="22"/>
        </w:rPr>
        <w:t>is</w:t>
      </w:r>
      <w:r w:rsidRPr="00B15411">
        <w:rPr>
          <w:spacing w:val="-6"/>
          <w:sz w:val="22"/>
          <w:szCs w:val="22"/>
        </w:rPr>
        <w:t xml:space="preserve"> </w:t>
      </w:r>
      <w:r w:rsidRPr="00B15411">
        <w:rPr>
          <w:spacing w:val="-1"/>
          <w:sz w:val="22"/>
          <w:szCs w:val="22"/>
        </w:rPr>
        <w:t>significant</w:t>
      </w:r>
      <w:r w:rsidRPr="00B15411">
        <w:rPr>
          <w:spacing w:val="-4"/>
          <w:sz w:val="22"/>
          <w:szCs w:val="22"/>
        </w:rPr>
        <w:t xml:space="preserve"> </w:t>
      </w:r>
      <w:r w:rsidRPr="00B15411">
        <w:rPr>
          <w:spacing w:val="-1"/>
          <w:sz w:val="22"/>
          <w:szCs w:val="22"/>
        </w:rPr>
        <w:t>for</w:t>
      </w:r>
      <w:r w:rsidRPr="00B15411">
        <w:rPr>
          <w:spacing w:val="-4"/>
          <w:sz w:val="22"/>
          <w:szCs w:val="22"/>
        </w:rPr>
        <w:t xml:space="preserve"> </w:t>
      </w:r>
      <w:r w:rsidRPr="00B15411">
        <w:rPr>
          <w:spacing w:val="-1"/>
          <w:sz w:val="22"/>
          <w:szCs w:val="22"/>
        </w:rPr>
        <w:t>volatile</w:t>
      </w:r>
      <w:r w:rsidRPr="00B15411">
        <w:rPr>
          <w:spacing w:val="-6"/>
          <w:sz w:val="22"/>
          <w:szCs w:val="22"/>
        </w:rPr>
        <w:t xml:space="preserve"> </w:t>
      </w:r>
      <w:r w:rsidRPr="00B15411">
        <w:rPr>
          <w:spacing w:val="-1"/>
          <w:sz w:val="22"/>
          <w:szCs w:val="22"/>
        </w:rPr>
        <w:t>organic</w:t>
      </w:r>
      <w:r w:rsidRPr="00B15411">
        <w:rPr>
          <w:spacing w:val="-5"/>
          <w:sz w:val="22"/>
          <w:szCs w:val="22"/>
        </w:rPr>
        <w:t xml:space="preserve"> </w:t>
      </w:r>
      <w:r w:rsidRPr="00B15411">
        <w:rPr>
          <w:sz w:val="22"/>
          <w:szCs w:val="22"/>
        </w:rPr>
        <w:t>compounds</w:t>
      </w:r>
      <w:r w:rsidRPr="00B15411">
        <w:rPr>
          <w:spacing w:val="-6"/>
          <w:sz w:val="22"/>
          <w:szCs w:val="22"/>
        </w:rPr>
        <w:t xml:space="preserve"> </w:t>
      </w:r>
      <w:r w:rsidRPr="00B15411">
        <w:rPr>
          <w:sz w:val="22"/>
          <w:szCs w:val="22"/>
        </w:rPr>
        <w:t>or</w:t>
      </w:r>
      <w:r w:rsidRPr="00B15411">
        <w:rPr>
          <w:spacing w:val="-5"/>
          <w:sz w:val="22"/>
          <w:szCs w:val="22"/>
        </w:rPr>
        <w:t xml:space="preserve"> </w:t>
      </w:r>
      <w:r w:rsidRPr="00B15411">
        <w:rPr>
          <w:spacing w:val="-1"/>
          <w:sz w:val="22"/>
          <w:szCs w:val="22"/>
        </w:rPr>
        <w:t>nitrogen</w:t>
      </w:r>
      <w:r w:rsidRPr="00B15411">
        <w:rPr>
          <w:spacing w:val="-6"/>
          <w:sz w:val="22"/>
          <w:szCs w:val="22"/>
        </w:rPr>
        <w:t xml:space="preserve"> </w:t>
      </w:r>
      <w:r w:rsidRPr="00B15411">
        <w:rPr>
          <w:spacing w:val="-1"/>
          <w:sz w:val="22"/>
          <w:szCs w:val="22"/>
        </w:rPr>
        <w:t>oxides</w:t>
      </w:r>
      <w:r w:rsidRPr="00B15411">
        <w:rPr>
          <w:spacing w:val="-6"/>
          <w:sz w:val="22"/>
          <w:szCs w:val="22"/>
        </w:rPr>
        <w:t xml:space="preserve"> </w:t>
      </w:r>
      <w:r w:rsidRPr="00B15411">
        <w:rPr>
          <w:spacing w:val="-1"/>
          <w:sz w:val="22"/>
          <w:szCs w:val="22"/>
        </w:rPr>
        <w:t>shall</w:t>
      </w:r>
      <w:r w:rsidRPr="00B15411">
        <w:rPr>
          <w:spacing w:val="-5"/>
          <w:sz w:val="22"/>
          <w:szCs w:val="22"/>
        </w:rPr>
        <w:t xml:space="preserve"> </w:t>
      </w:r>
      <w:r w:rsidRPr="00B15411">
        <w:rPr>
          <w:sz w:val="22"/>
          <w:szCs w:val="22"/>
        </w:rPr>
        <w:t>be</w:t>
      </w:r>
      <w:r w:rsidRPr="00B15411">
        <w:rPr>
          <w:spacing w:val="-6"/>
          <w:sz w:val="22"/>
          <w:szCs w:val="22"/>
        </w:rPr>
        <w:t xml:space="preserve"> </w:t>
      </w:r>
      <w:r w:rsidRPr="00B15411">
        <w:rPr>
          <w:sz w:val="22"/>
          <w:szCs w:val="22"/>
        </w:rPr>
        <w:t>considered</w:t>
      </w:r>
      <w:r w:rsidRPr="00B15411">
        <w:rPr>
          <w:spacing w:val="-4"/>
          <w:sz w:val="22"/>
          <w:szCs w:val="22"/>
        </w:rPr>
        <w:t xml:space="preserve"> </w:t>
      </w:r>
      <w:r w:rsidRPr="00B15411">
        <w:rPr>
          <w:spacing w:val="-1"/>
          <w:sz w:val="22"/>
          <w:szCs w:val="22"/>
        </w:rPr>
        <w:t>significant</w:t>
      </w:r>
      <w:r w:rsidRPr="00B15411">
        <w:rPr>
          <w:spacing w:val="-6"/>
          <w:sz w:val="22"/>
          <w:szCs w:val="22"/>
        </w:rPr>
        <w:t xml:space="preserve"> </w:t>
      </w:r>
      <w:r w:rsidRPr="00B15411">
        <w:rPr>
          <w:spacing w:val="-1"/>
          <w:sz w:val="22"/>
          <w:szCs w:val="22"/>
        </w:rPr>
        <w:t>for</w:t>
      </w:r>
      <w:r w:rsidRPr="00B15411">
        <w:rPr>
          <w:spacing w:val="-4"/>
          <w:sz w:val="22"/>
          <w:szCs w:val="22"/>
        </w:rPr>
        <w:t xml:space="preserve"> </w:t>
      </w:r>
      <w:r w:rsidRPr="00B15411">
        <w:rPr>
          <w:sz w:val="22"/>
          <w:szCs w:val="22"/>
        </w:rPr>
        <w:t>ozone.</w:t>
      </w:r>
      <w:r>
        <w:rPr>
          <w:sz w:val="22"/>
          <w:szCs w:val="22"/>
        </w:rPr>
        <w:t xml:space="preserve"> </w:t>
      </w:r>
      <w:r w:rsidRPr="009C291E">
        <w:rPr>
          <w:spacing w:val="-1"/>
          <w:sz w:val="22"/>
          <w:szCs w:val="22"/>
        </w:rPr>
        <w:t xml:space="preserve"> </w:t>
      </w:r>
      <w:r>
        <w:rPr>
          <w:spacing w:val="-1"/>
          <w:sz w:val="22"/>
          <w:szCs w:val="22"/>
        </w:rPr>
        <w:t xml:space="preserve">(Refer to Table </w:t>
      </w:r>
      <w:r w:rsidR="00060D5C">
        <w:rPr>
          <w:spacing w:val="-1"/>
          <w:sz w:val="22"/>
          <w:szCs w:val="22"/>
        </w:rPr>
        <w:t>1</w:t>
      </w:r>
      <w:r>
        <w:rPr>
          <w:spacing w:val="-1"/>
          <w:sz w:val="22"/>
          <w:szCs w:val="22"/>
        </w:rPr>
        <w:t xml:space="preserve"> above)</w:t>
      </w:r>
    </w:p>
    <w:p w:rsidR="00861123" w:rsidRPr="00B15411" w:rsidRDefault="00F33275" w:rsidP="00861123">
      <w:pPr>
        <w:pStyle w:val="ListParagraph"/>
        <w:numPr>
          <w:ilvl w:val="0"/>
          <w:numId w:val="10"/>
        </w:numPr>
        <w:tabs>
          <w:tab w:val="left" w:pos="754"/>
        </w:tabs>
        <w:kinsoku w:val="0"/>
        <w:overflowPunct w:val="0"/>
        <w:autoSpaceDE w:val="0"/>
        <w:autoSpaceDN w:val="0"/>
        <w:adjustRightInd w:val="0"/>
        <w:spacing w:after="60"/>
        <w:ind w:left="360"/>
        <w:contextualSpacing w:val="0"/>
        <w:rPr>
          <w:sz w:val="22"/>
          <w:szCs w:val="22"/>
        </w:rPr>
      </w:pPr>
      <w:r>
        <w:rPr>
          <w:sz w:val="22"/>
          <w:szCs w:val="22"/>
        </w:rPr>
        <w:t xml:space="preserve">through (d).  </w:t>
      </w:r>
      <w:r w:rsidR="00D53A1E" w:rsidRPr="00D53A1E">
        <w:rPr>
          <w:sz w:val="22"/>
          <w:szCs w:val="22"/>
        </w:rPr>
        <w:t>These paragraphs are not relevant to this review</w:t>
      </w:r>
    </w:p>
    <w:p w:rsidR="00861123" w:rsidRDefault="00861123" w:rsidP="00861123">
      <w:pPr>
        <w:autoSpaceDE w:val="0"/>
        <w:autoSpaceDN w:val="0"/>
        <w:adjustRightInd w:val="0"/>
        <w:spacing w:after="120"/>
        <w:rPr>
          <w:rFonts w:eastAsia="Calibri"/>
          <w:sz w:val="22"/>
          <w:szCs w:val="22"/>
        </w:rPr>
      </w:pPr>
      <w:r>
        <w:rPr>
          <w:rFonts w:eastAsia="Calibri"/>
          <w:sz w:val="22"/>
          <w:szCs w:val="22"/>
        </w:rPr>
        <w:t xml:space="preserve">For a major modification of an existing major stationary source, the review must include a BACT determination for any PSD pollutant that exceeds the respective SER.  The review must include demonstrations that the project will not cause or contribute to a violation of an AAQS or increment and that the project will not adversely affect AQRVs.  </w:t>
      </w:r>
    </w:p>
    <w:p w:rsidR="00861123" w:rsidRDefault="00861123" w:rsidP="00861123">
      <w:pPr>
        <w:autoSpaceDE w:val="0"/>
        <w:autoSpaceDN w:val="0"/>
        <w:adjustRightInd w:val="0"/>
        <w:spacing w:after="120"/>
        <w:rPr>
          <w:rFonts w:eastAsia="Calibri"/>
          <w:sz w:val="22"/>
          <w:szCs w:val="22"/>
        </w:rPr>
      </w:pPr>
      <w:r>
        <w:rPr>
          <w:rFonts w:eastAsia="Calibri"/>
          <w:sz w:val="22"/>
          <w:szCs w:val="22"/>
        </w:rPr>
        <w:lastRenderedPageBreak/>
        <w:t>GHGs</w:t>
      </w:r>
      <w:r w:rsidR="00D53A1E">
        <w:rPr>
          <w:rFonts w:eastAsia="Calibri"/>
          <w:sz w:val="22"/>
          <w:szCs w:val="22"/>
        </w:rPr>
        <w:t xml:space="preserve"> </w:t>
      </w:r>
      <w:r>
        <w:rPr>
          <w:rFonts w:eastAsia="Calibri"/>
          <w:sz w:val="22"/>
          <w:szCs w:val="22"/>
        </w:rPr>
        <w:t>becomes subject to regulation at a major modification if project emissions as CO</w:t>
      </w:r>
      <w:r w:rsidRPr="00211D15">
        <w:rPr>
          <w:rFonts w:eastAsia="Calibri"/>
          <w:sz w:val="22"/>
          <w:szCs w:val="22"/>
          <w:vertAlign w:val="subscript"/>
        </w:rPr>
        <w:t>2</w:t>
      </w:r>
      <w:r>
        <w:rPr>
          <w:rFonts w:eastAsia="Calibri"/>
          <w:sz w:val="22"/>
          <w:szCs w:val="22"/>
        </w:rPr>
        <w:t>e are greater than 75,000 tons/year and mass GHGs exceed zero tons/year.  The effects of the Supreme Court opinion about this provision on the Department’s rules are also under review.</w:t>
      </w:r>
    </w:p>
    <w:p w:rsidR="00193F10" w:rsidRPr="00193F10" w:rsidRDefault="00193F10" w:rsidP="00F15C32">
      <w:pPr>
        <w:pStyle w:val="ListParagraph"/>
        <w:numPr>
          <w:ilvl w:val="1"/>
          <w:numId w:val="12"/>
        </w:numPr>
        <w:spacing w:after="120"/>
        <w:ind w:left="720" w:hanging="720"/>
        <w:contextualSpacing w:val="0"/>
        <w:rPr>
          <w:b/>
          <w:sz w:val="22"/>
        </w:rPr>
      </w:pPr>
      <w:r w:rsidRPr="00193F10">
        <w:rPr>
          <w:b/>
          <w:sz w:val="22"/>
        </w:rPr>
        <w:t>P</w:t>
      </w:r>
      <w:r w:rsidR="00BB36AA">
        <w:rPr>
          <w:b/>
          <w:sz w:val="22"/>
        </w:rPr>
        <w:t>revious P</w:t>
      </w:r>
      <w:r w:rsidRPr="00193F10">
        <w:rPr>
          <w:b/>
          <w:sz w:val="22"/>
        </w:rPr>
        <w:t xml:space="preserve">SD </w:t>
      </w:r>
      <w:r w:rsidR="00BB36AA">
        <w:rPr>
          <w:b/>
          <w:sz w:val="22"/>
        </w:rPr>
        <w:t>Review and Construction Status</w:t>
      </w:r>
    </w:p>
    <w:p w:rsidR="00F315F8" w:rsidRDefault="00F315F8" w:rsidP="00F315F8">
      <w:pPr>
        <w:pStyle w:val="BodyText"/>
        <w:widowControl w:val="0"/>
        <w:rPr>
          <w:sz w:val="22"/>
          <w:szCs w:val="22"/>
        </w:rPr>
      </w:pPr>
      <w:r>
        <w:rPr>
          <w:sz w:val="22"/>
          <w:szCs w:val="22"/>
        </w:rPr>
        <w:t xml:space="preserve">The original project </w:t>
      </w:r>
      <w:r>
        <w:rPr>
          <w:color w:val="000000"/>
          <w:sz w:val="22"/>
          <w:szCs w:val="22"/>
        </w:rPr>
        <w:t xml:space="preserve">to construct the three MWCs was </w:t>
      </w:r>
      <w:r>
        <w:rPr>
          <w:sz w:val="22"/>
          <w:szCs w:val="22"/>
        </w:rPr>
        <w:t xml:space="preserve">subject to the requirements of 40 Code of Federal Regulations (CFR) Part 60, Subpart </w:t>
      </w:r>
      <w:proofErr w:type="spellStart"/>
      <w:r>
        <w:rPr>
          <w:sz w:val="22"/>
          <w:szCs w:val="22"/>
        </w:rPr>
        <w:t>Eb</w:t>
      </w:r>
      <w:proofErr w:type="spellEnd"/>
      <w:r>
        <w:rPr>
          <w:sz w:val="22"/>
          <w:szCs w:val="22"/>
        </w:rPr>
        <w:t xml:space="preserve"> - Standards of Performance for Large MWC, issued in May 2006.  These requirements include emissions limits for typical air pollutants as well as the Maximum Achievable Control Technology (MACT) for hazardous air pollutants (HAP).</w:t>
      </w:r>
    </w:p>
    <w:p w:rsidR="00AC273E" w:rsidRDefault="00AC273E" w:rsidP="00F315F8">
      <w:pPr>
        <w:pStyle w:val="BodyText"/>
        <w:widowControl w:val="0"/>
        <w:rPr>
          <w:sz w:val="22"/>
          <w:szCs w:val="22"/>
        </w:rPr>
      </w:pPr>
      <w:r>
        <w:rPr>
          <w:color w:val="000000"/>
          <w:sz w:val="22"/>
          <w:szCs w:val="22"/>
        </w:rPr>
        <w:t xml:space="preserve">The original project </w:t>
      </w:r>
      <w:r w:rsidR="00F315F8">
        <w:rPr>
          <w:color w:val="000000"/>
          <w:sz w:val="22"/>
          <w:szCs w:val="22"/>
        </w:rPr>
        <w:t xml:space="preserve">also </w:t>
      </w:r>
      <w:r>
        <w:rPr>
          <w:color w:val="000000"/>
          <w:sz w:val="22"/>
          <w:szCs w:val="22"/>
        </w:rPr>
        <w:t>triggered PSD and required a determination of BACT for t</w:t>
      </w:r>
      <w:r>
        <w:rPr>
          <w:sz w:val="22"/>
          <w:szCs w:val="22"/>
        </w:rPr>
        <w:t>he following pollutants: NO</w:t>
      </w:r>
      <w:r w:rsidRPr="00B43D3D">
        <w:rPr>
          <w:sz w:val="22"/>
          <w:szCs w:val="22"/>
          <w:vertAlign w:val="subscript"/>
        </w:rPr>
        <w:t>X</w:t>
      </w:r>
      <w:r>
        <w:rPr>
          <w:sz w:val="22"/>
          <w:szCs w:val="22"/>
        </w:rPr>
        <w:t>, CO, SO</w:t>
      </w:r>
      <w:r w:rsidRPr="00B43D3D">
        <w:rPr>
          <w:sz w:val="22"/>
          <w:szCs w:val="22"/>
          <w:vertAlign w:val="subscript"/>
        </w:rPr>
        <w:t>2</w:t>
      </w:r>
      <w:r>
        <w:rPr>
          <w:sz w:val="22"/>
          <w:szCs w:val="22"/>
        </w:rPr>
        <w:t>, VOC, PM, PM</w:t>
      </w:r>
      <w:r w:rsidRPr="00B43D3D">
        <w:rPr>
          <w:sz w:val="22"/>
          <w:szCs w:val="22"/>
          <w:vertAlign w:val="subscript"/>
        </w:rPr>
        <w:t>10</w:t>
      </w:r>
      <w:r>
        <w:rPr>
          <w:sz w:val="22"/>
          <w:szCs w:val="22"/>
        </w:rPr>
        <w:t>, MWC metals as PM, MWC acid gases as SO</w:t>
      </w:r>
      <w:r w:rsidRPr="00C96AC0">
        <w:rPr>
          <w:sz w:val="22"/>
          <w:szCs w:val="22"/>
          <w:vertAlign w:val="subscript"/>
        </w:rPr>
        <w:t>2</w:t>
      </w:r>
      <w:r>
        <w:rPr>
          <w:sz w:val="14"/>
          <w:szCs w:val="14"/>
        </w:rPr>
        <w:t xml:space="preserve"> </w:t>
      </w:r>
      <w:r>
        <w:rPr>
          <w:sz w:val="22"/>
          <w:szCs w:val="22"/>
        </w:rPr>
        <w:t xml:space="preserve">and HCl, F, SAM and MWC organics as D/F. </w:t>
      </w:r>
    </w:p>
    <w:p w:rsidR="00AC273E" w:rsidRDefault="00AC273E" w:rsidP="00AC273E">
      <w:pPr>
        <w:pStyle w:val="BodyText"/>
        <w:widowControl w:val="0"/>
        <w:rPr>
          <w:sz w:val="22"/>
          <w:szCs w:val="22"/>
        </w:rPr>
      </w:pPr>
      <w:r>
        <w:rPr>
          <w:sz w:val="22"/>
          <w:szCs w:val="22"/>
        </w:rPr>
        <w:t>The BACT control equipment for multi-pollutant control for the project consists of good combustion practices (GCP), spray dryers (SD), fabric filter (FF) baghouses, activated carbon injection (CI) and selective catalytic reduction (SCR).</w:t>
      </w:r>
      <w:r w:rsidR="00135223">
        <w:rPr>
          <w:sz w:val="22"/>
          <w:szCs w:val="22"/>
        </w:rPr>
        <w:t xml:space="preserve">  The control equipment minimizes emissions of Hg and a BACT determination was not required for this pollutant.</w:t>
      </w:r>
    </w:p>
    <w:p w:rsidR="00F315F8" w:rsidRDefault="00F315F8" w:rsidP="00F315F8">
      <w:pPr>
        <w:pStyle w:val="BodyText"/>
        <w:widowControl w:val="0"/>
        <w:rPr>
          <w:color w:val="000000"/>
          <w:sz w:val="22"/>
          <w:szCs w:val="22"/>
        </w:rPr>
      </w:pPr>
      <w:r>
        <w:rPr>
          <w:sz w:val="22"/>
          <w:szCs w:val="22"/>
        </w:rPr>
        <w:t xml:space="preserve">All of the BACT emission limits for the project are at least as stringent as the requirements of Subpart </w:t>
      </w:r>
      <w:proofErr w:type="spellStart"/>
      <w:r>
        <w:rPr>
          <w:sz w:val="22"/>
          <w:szCs w:val="22"/>
        </w:rPr>
        <w:t>Eb</w:t>
      </w:r>
      <w:proofErr w:type="spellEnd"/>
      <w:r>
        <w:rPr>
          <w:sz w:val="22"/>
          <w:szCs w:val="22"/>
        </w:rPr>
        <w:t xml:space="preserve">. </w:t>
      </w:r>
      <w:r w:rsidR="00C96AC0">
        <w:rPr>
          <w:sz w:val="22"/>
          <w:szCs w:val="22"/>
        </w:rPr>
        <w:t xml:space="preserve"> </w:t>
      </w:r>
      <w:r>
        <w:rPr>
          <w:sz w:val="22"/>
          <w:szCs w:val="22"/>
        </w:rPr>
        <w:t>In particular, the emission limitation for NO</w:t>
      </w:r>
      <w:r w:rsidRPr="00F315F8">
        <w:rPr>
          <w:sz w:val="22"/>
          <w:szCs w:val="22"/>
          <w:vertAlign w:val="subscript"/>
        </w:rPr>
        <w:t>X</w:t>
      </w:r>
      <w:r>
        <w:rPr>
          <w:sz w:val="14"/>
          <w:szCs w:val="14"/>
        </w:rPr>
        <w:t xml:space="preserve"> </w:t>
      </w:r>
      <w:r>
        <w:rPr>
          <w:sz w:val="22"/>
          <w:szCs w:val="22"/>
        </w:rPr>
        <w:t xml:space="preserve">is much more stringent at 50 parts per million by volume, dry at </w:t>
      </w:r>
      <w:r>
        <w:rPr>
          <w:sz w:val="22"/>
          <w:szCs w:val="22"/>
        </w:rPr>
        <w:br/>
        <w:t>7 percent (%) oxygen</w:t>
      </w:r>
      <w:r w:rsidR="00C96AC0">
        <w:rPr>
          <w:sz w:val="22"/>
          <w:szCs w:val="22"/>
        </w:rPr>
        <w:t xml:space="preserve"> (O</w:t>
      </w:r>
      <w:r w:rsidR="00C96AC0" w:rsidRPr="00C96AC0">
        <w:rPr>
          <w:sz w:val="22"/>
          <w:szCs w:val="22"/>
          <w:vertAlign w:val="subscript"/>
        </w:rPr>
        <w:t>2</w:t>
      </w:r>
      <w:r w:rsidR="00C96AC0">
        <w:rPr>
          <w:sz w:val="22"/>
          <w:szCs w:val="22"/>
        </w:rPr>
        <w:t xml:space="preserve">), i.e., </w:t>
      </w:r>
      <w:r>
        <w:rPr>
          <w:sz w:val="22"/>
          <w:szCs w:val="22"/>
        </w:rPr>
        <w:t>ppmvd</w:t>
      </w:r>
      <w:r w:rsidR="00C96AC0">
        <w:rPr>
          <w:sz w:val="22"/>
          <w:szCs w:val="22"/>
        </w:rPr>
        <w:t xml:space="preserve"> @ 7% O</w:t>
      </w:r>
      <w:r w:rsidR="00C96AC0" w:rsidRPr="00C96AC0">
        <w:rPr>
          <w:sz w:val="22"/>
          <w:szCs w:val="22"/>
          <w:vertAlign w:val="subscript"/>
        </w:rPr>
        <w:t>2</w:t>
      </w:r>
      <w:r w:rsidR="00C96AC0">
        <w:rPr>
          <w:sz w:val="22"/>
          <w:szCs w:val="22"/>
        </w:rPr>
        <w:t>,</w:t>
      </w:r>
      <w:r>
        <w:rPr>
          <w:sz w:val="22"/>
          <w:szCs w:val="22"/>
        </w:rPr>
        <w:t xml:space="preserve"> compared with the Subpart </w:t>
      </w:r>
      <w:proofErr w:type="spellStart"/>
      <w:r>
        <w:rPr>
          <w:sz w:val="22"/>
          <w:szCs w:val="22"/>
        </w:rPr>
        <w:t>Eb</w:t>
      </w:r>
      <w:proofErr w:type="spellEnd"/>
      <w:r>
        <w:rPr>
          <w:sz w:val="22"/>
          <w:szCs w:val="22"/>
        </w:rPr>
        <w:t xml:space="preserve"> limit of 150 ppmvd</w:t>
      </w:r>
      <w:r w:rsidR="00C96AC0">
        <w:rPr>
          <w:sz w:val="22"/>
          <w:szCs w:val="22"/>
        </w:rPr>
        <w:t xml:space="preserve"> @ 7% O</w:t>
      </w:r>
      <w:r w:rsidR="00C96AC0" w:rsidRPr="00C96AC0">
        <w:rPr>
          <w:sz w:val="22"/>
          <w:szCs w:val="22"/>
          <w:vertAlign w:val="subscript"/>
        </w:rPr>
        <w:t>2</w:t>
      </w:r>
      <w:r>
        <w:rPr>
          <w:sz w:val="22"/>
          <w:szCs w:val="22"/>
        </w:rPr>
        <w:t>. The BACT technology to achieve the NO</w:t>
      </w:r>
      <w:r w:rsidRPr="00B43D3D">
        <w:rPr>
          <w:sz w:val="22"/>
          <w:szCs w:val="22"/>
          <w:vertAlign w:val="subscript"/>
        </w:rPr>
        <w:t>X</w:t>
      </w:r>
      <w:r>
        <w:rPr>
          <w:sz w:val="14"/>
          <w:szCs w:val="14"/>
        </w:rPr>
        <w:t xml:space="preserve"> </w:t>
      </w:r>
      <w:r>
        <w:rPr>
          <w:sz w:val="22"/>
          <w:szCs w:val="22"/>
        </w:rPr>
        <w:t>limit is specified as SCR rather than selective non-catalytic reduction (SNCR).  SCR will also reduce emissions of ammonia (NH</w:t>
      </w:r>
      <w:r w:rsidRPr="00B43D3D">
        <w:rPr>
          <w:sz w:val="22"/>
          <w:szCs w:val="22"/>
          <w:vertAlign w:val="subscript"/>
        </w:rPr>
        <w:t>3</w:t>
      </w:r>
      <w:r>
        <w:rPr>
          <w:sz w:val="22"/>
          <w:szCs w:val="22"/>
        </w:rPr>
        <w:t>) and VOC, which (like NO</w:t>
      </w:r>
      <w:r w:rsidRPr="00B43D3D">
        <w:rPr>
          <w:sz w:val="22"/>
          <w:szCs w:val="22"/>
          <w:vertAlign w:val="subscript"/>
        </w:rPr>
        <w:t>X</w:t>
      </w:r>
      <w:r>
        <w:rPr>
          <w:sz w:val="14"/>
          <w:szCs w:val="14"/>
        </w:rPr>
        <w:t xml:space="preserve"> </w:t>
      </w:r>
      <w:r>
        <w:rPr>
          <w:sz w:val="22"/>
          <w:szCs w:val="22"/>
        </w:rPr>
        <w:t>and SO</w:t>
      </w:r>
      <w:r w:rsidRPr="00B43D3D">
        <w:rPr>
          <w:sz w:val="22"/>
          <w:szCs w:val="22"/>
          <w:vertAlign w:val="subscript"/>
        </w:rPr>
        <w:t>2</w:t>
      </w:r>
      <w:r>
        <w:rPr>
          <w:sz w:val="22"/>
          <w:szCs w:val="22"/>
        </w:rPr>
        <w:t>) are precursors in the formation of fine PM in the exhaust and the environment.</w:t>
      </w:r>
    </w:p>
    <w:p w:rsidR="00AC273E" w:rsidRDefault="00135223" w:rsidP="00A47920">
      <w:pPr>
        <w:pStyle w:val="BodyText"/>
        <w:widowControl w:val="0"/>
        <w:rPr>
          <w:color w:val="000000"/>
          <w:sz w:val="22"/>
          <w:szCs w:val="22"/>
        </w:rPr>
      </w:pPr>
      <w:r>
        <w:rPr>
          <w:color w:val="000000"/>
          <w:sz w:val="22"/>
          <w:szCs w:val="22"/>
        </w:rPr>
        <w:t xml:space="preserve">Further details regarding the original permit and previous minor revisions are available at the following web page:  </w:t>
      </w:r>
      <w:hyperlink r:id="rId12" w:history="1">
        <w:r w:rsidRPr="009852FD">
          <w:rPr>
            <w:rStyle w:val="Hyperlink"/>
            <w:sz w:val="22"/>
            <w:szCs w:val="22"/>
          </w:rPr>
          <w:t>http://www.dep.state.fl.us/Air/emission/bioenergy/palm_beach.htm</w:t>
        </w:r>
      </w:hyperlink>
      <w:r>
        <w:rPr>
          <w:color w:val="000000"/>
          <w:sz w:val="22"/>
          <w:szCs w:val="22"/>
        </w:rPr>
        <w:t xml:space="preserve">  Additional facts are available at the facility web site at:  </w:t>
      </w:r>
      <w:hyperlink r:id="rId13" w:history="1">
        <w:r w:rsidRPr="009852FD">
          <w:rPr>
            <w:rStyle w:val="Hyperlink"/>
            <w:sz w:val="22"/>
            <w:szCs w:val="22"/>
          </w:rPr>
          <w:t>http://www.swa.org/pdf/PBRWF_2_-_12.10.12.pdf</w:t>
        </w:r>
      </w:hyperlink>
      <w:r>
        <w:rPr>
          <w:color w:val="000000"/>
          <w:sz w:val="22"/>
          <w:szCs w:val="22"/>
        </w:rPr>
        <w:t xml:space="preserve">  Construction has not yet been completed.  The following link is to a camera showing the status of construction:  </w:t>
      </w:r>
      <w:hyperlink r:id="rId14" w:history="1">
        <w:r w:rsidR="00BB36AA" w:rsidRPr="009852FD">
          <w:rPr>
            <w:rStyle w:val="Hyperlink"/>
            <w:sz w:val="22"/>
            <w:szCs w:val="22"/>
          </w:rPr>
          <w:t>http://www.swa.org/vm95webcam/</w:t>
        </w:r>
      </w:hyperlink>
      <w:r w:rsidR="00BB36AA">
        <w:rPr>
          <w:color w:val="000000"/>
          <w:sz w:val="22"/>
          <w:szCs w:val="22"/>
        </w:rPr>
        <w:t xml:space="preserve">  </w:t>
      </w:r>
      <w:r w:rsidR="00E56EC9">
        <w:rPr>
          <w:color w:val="000000"/>
          <w:sz w:val="22"/>
          <w:szCs w:val="22"/>
        </w:rPr>
        <w:fldChar w:fldCharType="begin"/>
      </w:r>
      <w:r w:rsidR="00E56EC9">
        <w:rPr>
          <w:color w:val="000000"/>
          <w:sz w:val="22"/>
          <w:szCs w:val="22"/>
        </w:rPr>
        <w:instrText xml:space="preserve"> REF _Ref398273429 \h  \* MERGEFORMAT </w:instrText>
      </w:r>
      <w:r w:rsidR="00E56EC9">
        <w:rPr>
          <w:color w:val="000000"/>
          <w:sz w:val="22"/>
          <w:szCs w:val="22"/>
        </w:rPr>
      </w:r>
      <w:r w:rsidR="00E56EC9">
        <w:rPr>
          <w:color w:val="000000"/>
          <w:sz w:val="22"/>
          <w:szCs w:val="22"/>
        </w:rPr>
        <w:fldChar w:fldCharType="separate"/>
      </w:r>
      <w:r w:rsidR="00AF1F1C" w:rsidRPr="00AF1F1C">
        <w:rPr>
          <w:rFonts w:ascii="Times New Roman Bold" w:hAnsi="Times New Roman Bold"/>
          <w:b/>
          <w:sz w:val="22"/>
          <w:szCs w:val="22"/>
        </w:rPr>
        <w:t xml:space="preserve">Figure </w:t>
      </w:r>
      <w:r w:rsidR="00AF1F1C">
        <w:rPr>
          <w:rFonts w:ascii="Times New Roman Bold" w:hAnsi="Times New Roman Bold"/>
          <w:caps/>
          <w:noProof/>
        </w:rPr>
        <w:t>4</w:t>
      </w:r>
      <w:r w:rsidR="00E56EC9">
        <w:rPr>
          <w:color w:val="000000"/>
          <w:sz w:val="22"/>
          <w:szCs w:val="22"/>
        </w:rPr>
        <w:fldChar w:fldCharType="end"/>
      </w:r>
      <w:r w:rsidR="00E56EC9">
        <w:rPr>
          <w:color w:val="000000"/>
          <w:sz w:val="22"/>
          <w:szCs w:val="22"/>
        </w:rPr>
        <w:t xml:space="preserve"> </w:t>
      </w:r>
      <w:r w:rsidR="002F05D5">
        <w:rPr>
          <w:color w:val="000000"/>
          <w:sz w:val="22"/>
          <w:szCs w:val="22"/>
        </w:rPr>
        <w:t xml:space="preserve">below </w:t>
      </w:r>
      <w:r w:rsidR="00BB36AA">
        <w:rPr>
          <w:color w:val="000000"/>
          <w:sz w:val="22"/>
          <w:szCs w:val="22"/>
        </w:rPr>
        <w:t>was downloaded from the webcam on August 28, 2014.</w:t>
      </w:r>
      <w:r w:rsidR="00F315F8">
        <w:rPr>
          <w:color w:val="000000"/>
          <w:sz w:val="22"/>
          <w:szCs w:val="22"/>
        </w:rPr>
        <w:t xml:space="preserve">  The PBREF No. 2 will begin commercial operation in 2015.</w:t>
      </w:r>
    </w:p>
    <w:p w:rsidR="00BB36AA" w:rsidRDefault="00BB36AA" w:rsidP="00E56EC9">
      <w:pPr>
        <w:pStyle w:val="BodyText"/>
        <w:widowControl w:val="0"/>
        <w:spacing w:after="60"/>
        <w:jc w:val="center"/>
        <w:rPr>
          <w:color w:val="000000"/>
          <w:sz w:val="22"/>
          <w:szCs w:val="22"/>
        </w:rPr>
      </w:pPr>
      <w:r>
        <w:rPr>
          <w:noProof/>
          <w:color w:val="000000"/>
          <w:sz w:val="22"/>
          <w:szCs w:val="22"/>
        </w:rPr>
        <w:drawing>
          <wp:inline distT="0" distB="0" distL="0" distR="0" wp14:anchorId="4C0ED362" wp14:editId="6FD0335C">
            <wp:extent cx="5269865" cy="3132053"/>
            <wp:effectExtent l="19050" t="19050" r="26035" b="114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ntitled.png"/>
                    <pic:cNvPicPr/>
                  </pic:nvPicPr>
                  <pic:blipFill rotWithShape="1">
                    <a:blip r:embed="rId15" cstate="print">
                      <a:extLst>
                        <a:ext uri="{28A0092B-C50C-407E-A947-70E740481C1C}">
                          <a14:useLocalDpi xmlns:a14="http://schemas.microsoft.com/office/drawing/2010/main" val="0"/>
                        </a:ext>
                      </a:extLst>
                    </a:blip>
                    <a:srcRect b="10850"/>
                    <a:stretch/>
                  </pic:blipFill>
                  <pic:spPr bwMode="auto">
                    <a:xfrm>
                      <a:off x="0" y="0"/>
                      <a:ext cx="5292189" cy="3145321"/>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rsidR="00BB36AA" w:rsidRPr="00C96AC0" w:rsidRDefault="00E56EC9" w:rsidP="00E56EC9">
      <w:pPr>
        <w:pStyle w:val="Caption"/>
        <w:spacing w:before="120"/>
        <w:jc w:val="center"/>
        <w:rPr>
          <w:rFonts w:ascii="Times New Roman Bold" w:hAnsi="Times New Roman Bold"/>
          <w:caps w:val="0"/>
        </w:rPr>
      </w:pPr>
      <w:bookmarkStart w:id="4" w:name="_Ref398273429"/>
      <w:r w:rsidRPr="00E56EC9">
        <w:rPr>
          <w:rFonts w:ascii="Times New Roman Bold" w:hAnsi="Times New Roman Bold"/>
          <w:caps w:val="0"/>
        </w:rPr>
        <w:t xml:space="preserve">Figure </w:t>
      </w:r>
      <w:r w:rsidRPr="00E56EC9">
        <w:rPr>
          <w:rFonts w:ascii="Times New Roman Bold" w:hAnsi="Times New Roman Bold"/>
          <w:caps w:val="0"/>
        </w:rPr>
        <w:fldChar w:fldCharType="begin"/>
      </w:r>
      <w:r w:rsidRPr="00E56EC9">
        <w:rPr>
          <w:rFonts w:ascii="Times New Roman Bold" w:hAnsi="Times New Roman Bold"/>
          <w:caps w:val="0"/>
        </w:rPr>
        <w:instrText xml:space="preserve"> SEQ Figure \* ARABIC </w:instrText>
      </w:r>
      <w:r w:rsidRPr="00E56EC9">
        <w:rPr>
          <w:rFonts w:ascii="Times New Roman Bold" w:hAnsi="Times New Roman Bold"/>
          <w:caps w:val="0"/>
        </w:rPr>
        <w:fldChar w:fldCharType="separate"/>
      </w:r>
      <w:r w:rsidR="00AF1F1C">
        <w:rPr>
          <w:rFonts w:ascii="Times New Roman Bold" w:hAnsi="Times New Roman Bold"/>
          <w:caps w:val="0"/>
          <w:noProof/>
        </w:rPr>
        <w:t>4</w:t>
      </w:r>
      <w:r w:rsidRPr="00E56EC9">
        <w:rPr>
          <w:rFonts w:ascii="Times New Roman Bold" w:hAnsi="Times New Roman Bold"/>
          <w:caps w:val="0"/>
        </w:rPr>
        <w:fldChar w:fldCharType="end"/>
      </w:r>
      <w:bookmarkEnd w:id="4"/>
      <w:r w:rsidRPr="00E56EC9">
        <w:rPr>
          <w:rFonts w:ascii="Times New Roman Bold" w:hAnsi="Times New Roman Bold"/>
          <w:caps w:val="0"/>
        </w:rPr>
        <w:t xml:space="preserve">. </w:t>
      </w:r>
      <w:r>
        <w:t xml:space="preserve"> </w:t>
      </w:r>
      <w:r w:rsidR="00BB36AA" w:rsidRPr="00C96AC0">
        <w:rPr>
          <w:rFonts w:ascii="Times New Roman Bold" w:hAnsi="Times New Roman Bold"/>
          <w:caps w:val="0"/>
        </w:rPr>
        <w:t>Ongoing Construction of PBREF No. 2 as of August 28, 2014.</w:t>
      </w:r>
    </w:p>
    <w:p w:rsidR="003C2EC1" w:rsidRDefault="003C2EC1" w:rsidP="003C2EC1">
      <w:pPr>
        <w:pStyle w:val="ListParagraph"/>
        <w:numPr>
          <w:ilvl w:val="1"/>
          <w:numId w:val="12"/>
        </w:numPr>
        <w:spacing w:after="120"/>
        <w:ind w:left="720" w:hanging="720"/>
        <w:contextualSpacing w:val="0"/>
        <w:rPr>
          <w:b/>
          <w:sz w:val="22"/>
        </w:rPr>
      </w:pPr>
      <w:r>
        <w:rPr>
          <w:b/>
          <w:sz w:val="22"/>
        </w:rPr>
        <w:lastRenderedPageBreak/>
        <w:t xml:space="preserve">PSD </w:t>
      </w:r>
      <w:r w:rsidRPr="00193F10">
        <w:rPr>
          <w:b/>
          <w:sz w:val="22"/>
        </w:rPr>
        <w:t xml:space="preserve">Applicability for </w:t>
      </w:r>
      <w:r>
        <w:rPr>
          <w:b/>
          <w:sz w:val="22"/>
        </w:rPr>
        <w:t xml:space="preserve">New </w:t>
      </w:r>
      <w:r w:rsidRPr="00193F10">
        <w:rPr>
          <w:b/>
          <w:sz w:val="22"/>
        </w:rPr>
        <w:t>Project</w:t>
      </w:r>
    </w:p>
    <w:p w:rsidR="003C2EC1" w:rsidRDefault="003C2EC1" w:rsidP="003C2EC1">
      <w:pPr>
        <w:pStyle w:val="BodyText"/>
        <w:widowControl w:val="0"/>
        <w:rPr>
          <w:color w:val="000000"/>
          <w:sz w:val="22"/>
          <w:szCs w:val="22"/>
        </w:rPr>
      </w:pPr>
      <w:r>
        <w:rPr>
          <w:color w:val="000000"/>
          <w:sz w:val="22"/>
          <w:szCs w:val="22"/>
        </w:rPr>
        <w:t>With respect to the application under review, the method to determine whether the present project is a major source modification is to compare “baseline actual emissions (BAE)” with “projected actual emissions (PAE)” and compare the differences with the SER listed in Table 1.</w:t>
      </w:r>
    </w:p>
    <w:p w:rsidR="003C2EC1" w:rsidRDefault="003C2EC1" w:rsidP="003C2EC1">
      <w:pPr>
        <w:pStyle w:val="BodyText"/>
        <w:widowControl w:val="0"/>
        <w:rPr>
          <w:color w:val="000000"/>
          <w:sz w:val="22"/>
          <w:szCs w:val="22"/>
        </w:rPr>
      </w:pPr>
      <w:r w:rsidRPr="00D00878">
        <w:rPr>
          <w:color w:val="000000"/>
          <w:sz w:val="22"/>
          <w:szCs w:val="22"/>
        </w:rPr>
        <w:t>According to paragraph 62-210.200(</w:t>
      </w:r>
      <w:r>
        <w:rPr>
          <w:color w:val="000000"/>
          <w:sz w:val="22"/>
          <w:szCs w:val="22"/>
        </w:rPr>
        <w:t>194</w:t>
      </w:r>
      <w:r w:rsidRPr="00D00878">
        <w:rPr>
          <w:color w:val="000000"/>
          <w:sz w:val="22"/>
          <w:szCs w:val="22"/>
        </w:rPr>
        <w:t xml:space="preserve">), F.A.C., </w:t>
      </w:r>
      <w:r>
        <w:rPr>
          <w:color w:val="000000"/>
          <w:sz w:val="22"/>
          <w:szCs w:val="22"/>
        </w:rPr>
        <w:t xml:space="preserve">for the purposes of Rule 62-212.400 (PSD), F.A.C., </w:t>
      </w:r>
      <w:r w:rsidRPr="00F7188C">
        <w:rPr>
          <w:b/>
          <w:i/>
          <w:color w:val="000000"/>
          <w:sz w:val="22"/>
          <w:szCs w:val="22"/>
        </w:rPr>
        <w:t>a new emissions unit</w:t>
      </w:r>
      <w:r w:rsidRPr="00D00878">
        <w:rPr>
          <w:color w:val="000000"/>
          <w:sz w:val="22"/>
          <w:szCs w:val="22"/>
        </w:rPr>
        <w:t xml:space="preserve"> is any emission unit that is or will be newly constructed and that has existed for less than 2 years from the date such emissions unit first operated.</w:t>
      </w:r>
      <w:r>
        <w:rPr>
          <w:color w:val="000000"/>
          <w:sz w:val="22"/>
          <w:szCs w:val="22"/>
        </w:rPr>
        <w:t xml:space="preserve">  The three new MWCs at the PBREP are clearly new emissions units.</w:t>
      </w:r>
    </w:p>
    <w:p w:rsidR="003C2EC1" w:rsidRDefault="003C2EC1" w:rsidP="003C2EC1">
      <w:pPr>
        <w:pStyle w:val="BodyText"/>
        <w:widowControl w:val="0"/>
        <w:rPr>
          <w:color w:val="000000"/>
          <w:sz w:val="22"/>
          <w:szCs w:val="22"/>
        </w:rPr>
      </w:pPr>
      <w:r>
        <w:rPr>
          <w:color w:val="000000"/>
          <w:sz w:val="22"/>
          <w:szCs w:val="22"/>
        </w:rPr>
        <w:t>According to paragraph 62-210.200(28)(c), F.A.C., f</w:t>
      </w:r>
      <w:r w:rsidRPr="00D00878">
        <w:rPr>
          <w:color w:val="000000"/>
          <w:sz w:val="22"/>
          <w:szCs w:val="22"/>
        </w:rPr>
        <w:t xml:space="preserve">or </w:t>
      </w:r>
      <w:r w:rsidRPr="00D00878">
        <w:rPr>
          <w:b/>
          <w:i/>
          <w:color w:val="000000"/>
          <w:sz w:val="22"/>
          <w:szCs w:val="22"/>
        </w:rPr>
        <w:t>a new emissions unit</w:t>
      </w:r>
      <w:r w:rsidRPr="00D00878">
        <w:rPr>
          <w:color w:val="000000"/>
          <w:sz w:val="22"/>
          <w:szCs w:val="22"/>
        </w:rPr>
        <w:t xml:space="preserve">, the </w:t>
      </w:r>
      <w:r>
        <w:rPr>
          <w:color w:val="000000"/>
          <w:sz w:val="22"/>
          <w:szCs w:val="22"/>
        </w:rPr>
        <w:t>BAE</w:t>
      </w:r>
      <w:r w:rsidRPr="00D00878">
        <w:rPr>
          <w:color w:val="000000"/>
          <w:sz w:val="22"/>
          <w:szCs w:val="22"/>
        </w:rPr>
        <w:t xml:space="preserve"> for purposes of determining the emissions increase that will result from the initial construction and operation of such unit shall equal zero; and thereafter, for all other purposes, shall equal the unit's potential to emit</w:t>
      </w:r>
      <w:r>
        <w:rPr>
          <w:color w:val="000000"/>
          <w:sz w:val="22"/>
          <w:szCs w:val="22"/>
        </w:rPr>
        <w:t xml:space="preserve"> (PTE)</w:t>
      </w:r>
      <w:r w:rsidRPr="00D00878">
        <w:rPr>
          <w:color w:val="000000"/>
          <w:sz w:val="22"/>
          <w:szCs w:val="22"/>
        </w:rPr>
        <w:t>.</w:t>
      </w:r>
    </w:p>
    <w:p w:rsidR="00F315F8" w:rsidRDefault="00F315F8" w:rsidP="00F315F8">
      <w:pPr>
        <w:pStyle w:val="BodyText"/>
        <w:widowControl w:val="0"/>
        <w:rPr>
          <w:color w:val="000000"/>
          <w:sz w:val="22"/>
          <w:szCs w:val="22"/>
        </w:rPr>
      </w:pPr>
      <w:r>
        <w:rPr>
          <w:color w:val="000000"/>
          <w:sz w:val="22"/>
          <w:szCs w:val="22"/>
        </w:rPr>
        <w:t>No changes in emissions limits are requested.  Both the BAE and the PAE of the three new MWC units will equal their respective PTEs.  Therefore the difference in the two quantities is zero</w:t>
      </w:r>
      <w:r w:rsidR="00FC3D22">
        <w:rPr>
          <w:color w:val="000000"/>
          <w:sz w:val="22"/>
          <w:szCs w:val="22"/>
        </w:rPr>
        <w:t>,</w:t>
      </w:r>
      <w:r>
        <w:rPr>
          <w:color w:val="000000"/>
          <w:sz w:val="22"/>
          <w:szCs w:val="22"/>
        </w:rPr>
        <w:t xml:space="preserve"> and the project is not a modification with respect to the PSD rules.</w:t>
      </w:r>
    </w:p>
    <w:p w:rsidR="00F315F8" w:rsidRPr="00F7188C" w:rsidRDefault="00F315F8" w:rsidP="00F315F8">
      <w:pPr>
        <w:pStyle w:val="BodyText"/>
        <w:widowControl w:val="0"/>
        <w:rPr>
          <w:color w:val="000000"/>
          <w:sz w:val="22"/>
          <w:szCs w:val="22"/>
        </w:rPr>
      </w:pPr>
      <w:r>
        <w:rPr>
          <w:color w:val="000000"/>
          <w:sz w:val="22"/>
          <w:szCs w:val="22"/>
        </w:rPr>
        <w:t>If, for example, there had been any increase in the emission limits of any pollutant, it would be necessary to consider whether the total increase from the original project and the present modification would trigger PSD.</w:t>
      </w:r>
    </w:p>
    <w:p w:rsidR="00193F10" w:rsidRDefault="00617209" w:rsidP="00E56EC9">
      <w:pPr>
        <w:pStyle w:val="ListParagraph"/>
        <w:numPr>
          <w:ilvl w:val="0"/>
          <w:numId w:val="12"/>
        </w:numPr>
        <w:spacing w:after="120"/>
        <w:ind w:left="720" w:hanging="720"/>
        <w:contextualSpacing w:val="0"/>
        <w:rPr>
          <w:b/>
          <w:caps/>
          <w:sz w:val="22"/>
        </w:rPr>
      </w:pPr>
      <w:r>
        <w:rPr>
          <w:b/>
          <w:caps/>
          <w:sz w:val="22"/>
        </w:rPr>
        <w:t>Department review</w:t>
      </w:r>
    </w:p>
    <w:p w:rsidR="00193F10" w:rsidRPr="00E56EC9" w:rsidRDefault="00193F10" w:rsidP="00E56EC9">
      <w:pPr>
        <w:pStyle w:val="ListParagraph"/>
        <w:numPr>
          <w:ilvl w:val="1"/>
          <w:numId w:val="12"/>
        </w:numPr>
        <w:spacing w:after="120"/>
        <w:ind w:left="720" w:hanging="720"/>
        <w:contextualSpacing w:val="0"/>
        <w:rPr>
          <w:b/>
          <w:caps/>
          <w:sz w:val="22"/>
        </w:rPr>
      </w:pPr>
      <w:r w:rsidRPr="00193F10">
        <w:rPr>
          <w:b/>
          <w:sz w:val="22"/>
        </w:rPr>
        <w:t>Brief Discussion of Emissions</w:t>
      </w:r>
    </w:p>
    <w:p w:rsidR="00193F10" w:rsidRDefault="00D56DF0" w:rsidP="007F0D8E">
      <w:pPr>
        <w:widowControl w:val="0"/>
        <w:autoSpaceDE w:val="0"/>
        <w:autoSpaceDN w:val="0"/>
        <w:adjustRightInd w:val="0"/>
        <w:spacing w:after="120"/>
        <w:rPr>
          <w:sz w:val="22"/>
          <w:szCs w:val="22"/>
        </w:rPr>
      </w:pPr>
      <w:r>
        <w:rPr>
          <w:sz w:val="22"/>
          <w:szCs w:val="22"/>
        </w:rPr>
        <w:t xml:space="preserve">No changes in permitted emissions are requested in this application.  </w:t>
      </w:r>
      <w:r w:rsidR="00BF21F0" w:rsidRPr="00BF21F0">
        <w:rPr>
          <w:sz w:val="22"/>
          <w:szCs w:val="22"/>
        </w:rPr>
        <w:t>The emissions and emissions units that comprise PBREF-2 have been detailed in previous AC/PSD Permit Nos. 0990234-017-AC/PSD-FL-413, 0990234-023-AC/PSD-FL-413A (Project), and 0990234-028-AC/PSD-FL-413B.</w:t>
      </w:r>
      <w:r>
        <w:rPr>
          <w:sz w:val="22"/>
          <w:szCs w:val="22"/>
        </w:rPr>
        <w:t xml:space="preserve">  The PBREF-2 emissions totals and PSD applicability are unchanged from Permit No. </w:t>
      </w:r>
      <w:r w:rsidRPr="00BF21F0">
        <w:rPr>
          <w:sz w:val="22"/>
          <w:szCs w:val="22"/>
        </w:rPr>
        <w:t>0990234-028-AC/PSD-FL-413B</w:t>
      </w:r>
      <w:r w:rsidR="003E1FB8">
        <w:rPr>
          <w:sz w:val="22"/>
          <w:szCs w:val="22"/>
        </w:rPr>
        <w:t>.</w:t>
      </w:r>
    </w:p>
    <w:p w:rsidR="00817783" w:rsidRPr="00E56EC9" w:rsidRDefault="00817783" w:rsidP="00E56EC9">
      <w:pPr>
        <w:pStyle w:val="ListParagraph"/>
        <w:numPr>
          <w:ilvl w:val="2"/>
          <w:numId w:val="12"/>
        </w:numPr>
        <w:spacing w:after="120"/>
        <w:ind w:left="720" w:hanging="720"/>
        <w:contextualSpacing w:val="0"/>
        <w:rPr>
          <w:sz w:val="22"/>
          <w:szCs w:val="22"/>
          <w:u w:val="single"/>
        </w:rPr>
      </w:pPr>
      <w:r w:rsidRPr="00E56EC9">
        <w:rPr>
          <w:sz w:val="22"/>
          <w:szCs w:val="22"/>
          <w:u w:val="single"/>
        </w:rPr>
        <w:t>Changes in waste mix permitted to be burned in MWCs</w:t>
      </w:r>
      <w:r w:rsidR="00B2074B" w:rsidRPr="00E56EC9">
        <w:rPr>
          <w:sz w:val="22"/>
          <w:szCs w:val="22"/>
          <w:u w:val="single"/>
        </w:rPr>
        <w:t xml:space="preserve"> (Permit Condition 12)</w:t>
      </w:r>
    </w:p>
    <w:p w:rsidR="00817783" w:rsidRPr="00EC78E1" w:rsidRDefault="00817783" w:rsidP="00E56EC9">
      <w:pPr>
        <w:pStyle w:val="BodyText"/>
        <w:rPr>
          <w:sz w:val="22"/>
          <w:szCs w:val="22"/>
        </w:rPr>
      </w:pPr>
      <w:r w:rsidRPr="00E56EC9">
        <w:rPr>
          <w:i/>
          <w:sz w:val="22"/>
          <w:szCs w:val="22"/>
        </w:rPr>
        <w:t>Applicant request</w:t>
      </w:r>
      <w:r w:rsidRPr="00EC78E1">
        <w:rPr>
          <w:sz w:val="22"/>
          <w:szCs w:val="22"/>
        </w:rPr>
        <w:t xml:space="preserve">:  </w:t>
      </w:r>
      <w:r w:rsidR="00DF1C54">
        <w:rPr>
          <w:sz w:val="22"/>
          <w:szCs w:val="22"/>
        </w:rPr>
        <w:t>SWA</w:t>
      </w:r>
      <w:r w:rsidRPr="00EC78E1">
        <w:rPr>
          <w:sz w:val="22"/>
          <w:szCs w:val="22"/>
        </w:rPr>
        <w:t xml:space="preserve"> has requested that the percentage by weight consisting of waste tires permitted to be burned at the facility be raised from 3% to 5%.  The applicant has also requested that permitted </w:t>
      </w:r>
      <w:r w:rsidR="00653684">
        <w:rPr>
          <w:sz w:val="22"/>
          <w:szCs w:val="22"/>
        </w:rPr>
        <w:t>wastes</w:t>
      </w:r>
      <w:r w:rsidR="00653684" w:rsidRPr="00EC78E1">
        <w:rPr>
          <w:sz w:val="22"/>
          <w:szCs w:val="22"/>
        </w:rPr>
        <w:t xml:space="preserve"> </w:t>
      </w:r>
      <w:r w:rsidRPr="00EC78E1">
        <w:rPr>
          <w:sz w:val="22"/>
          <w:szCs w:val="22"/>
        </w:rPr>
        <w:t>include materials for witnessed destruction</w:t>
      </w:r>
      <w:r w:rsidR="004413B6">
        <w:rPr>
          <w:szCs w:val="22"/>
        </w:rPr>
        <w:t xml:space="preserve"> (such as expired or off-specification consumer goods and pharmaceuticals)</w:t>
      </w:r>
      <w:r w:rsidRPr="00EC78E1">
        <w:rPr>
          <w:sz w:val="22"/>
          <w:szCs w:val="22"/>
        </w:rPr>
        <w:t>, biosolids, livestock waste, waste processing residue from ethanol production, waste gasification process residue, combustible residue from recycling of construction and demolition debris, residue from processing MSW to make refuse-derived fuel, residue from processing recovered materials, and residue from pro</w:t>
      </w:r>
      <w:r w:rsidR="00DF1C54">
        <w:rPr>
          <w:sz w:val="22"/>
          <w:szCs w:val="22"/>
        </w:rPr>
        <w:t>cessing recyclable materials.  Additionally, t</w:t>
      </w:r>
      <w:r w:rsidRPr="00EC78E1">
        <w:rPr>
          <w:sz w:val="22"/>
          <w:szCs w:val="22"/>
        </w:rPr>
        <w:t xml:space="preserve">he applicant has requested that the limit on the proportion of non-MSW </w:t>
      </w:r>
      <w:r w:rsidR="00653684">
        <w:rPr>
          <w:sz w:val="22"/>
          <w:szCs w:val="22"/>
        </w:rPr>
        <w:t xml:space="preserve">in segregated loads </w:t>
      </w:r>
      <w:r w:rsidRPr="00EC78E1">
        <w:rPr>
          <w:sz w:val="22"/>
          <w:szCs w:val="22"/>
        </w:rPr>
        <w:t>to be combusted at the facility be raised from 5% to 20% by weight</w:t>
      </w:r>
      <w:r w:rsidR="002B7726">
        <w:rPr>
          <w:sz w:val="22"/>
          <w:szCs w:val="22"/>
        </w:rPr>
        <w:t xml:space="preserve">, with a 5% limit on most individual categories of </w:t>
      </w:r>
      <w:r w:rsidR="004413B6">
        <w:rPr>
          <w:sz w:val="22"/>
          <w:szCs w:val="22"/>
        </w:rPr>
        <w:t>such wastes</w:t>
      </w:r>
      <w:r w:rsidRPr="00EC78E1">
        <w:rPr>
          <w:sz w:val="22"/>
          <w:szCs w:val="22"/>
        </w:rPr>
        <w:t>.</w:t>
      </w:r>
    </w:p>
    <w:p w:rsidR="00653684" w:rsidRDefault="00817783" w:rsidP="00E56EC9">
      <w:pPr>
        <w:pStyle w:val="BodyText"/>
        <w:rPr>
          <w:color w:val="000000"/>
          <w:sz w:val="22"/>
          <w:szCs w:val="22"/>
          <w:shd w:val="clear" w:color="auto" w:fill="FFFFFF"/>
        </w:rPr>
      </w:pPr>
      <w:r w:rsidRPr="00E56EC9">
        <w:rPr>
          <w:i/>
          <w:sz w:val="22"/>
          <w:szCs w:val="22"/>
        </w:rPr>
        <w:t>Department response</w:t>
      </w:r>
      <w:r w:rsidRPr="00EC78E1">
        <w:rPr>
          <w:sz w:val="22"/>
          <w:szCs w:val="22"/>
        </w:rPr>
        <w:t xml:space="preserve">:  </w:t>
      </w:r>
      <w:r w:rsidR="00EC78E1" w:rsidRPr="00EC78E1">
        <w:rPr>
          <w:sz w:val="22"/>
          <w:szCs w:val="22"/>
        </w:rPr>
        <w:t xml:space="preserve">This request is consistent with </w:t>
      </w:r>
      <w:hyperlink r:id="rId16" w:history="1">
        <w:r w:rsidR="00EC78E1" w:rsidRPr="00EC78E1">
          <w:rPr>
            <w:rStyle w:val="Hyperlink"/>
            <w:sz w:val="22"/>
            <w:szCs w:val="22"/>
          </w:rPr>
          <w:t>Section 403.707(1), Florida Statutes</w:t>
        </w:r>
      </w:hyperlink>
      <w:r w:rsidR="00EC78E1" w:rsidRPr="00EC78E1">
        <w:rPr>
          <w:sz w:val="22"/>
          <w:szCs w:val="22"/>
        </w:rPr>
        <w:t xml:space="preserve">, which states that “… [DEP] </w:t>
      </w:r>
      <w:r w:rsidR="00EC78E1" w:rsidRPr="00EC78E1">
        <w:rPr>
          <w:color w:val="000000"/>
          <w:sz w:val="22"/>
          <w:szCs w:val="22"/>
          <w:shd w:val="clear" w:color="auto" w:fill="FFFFFF"/>
        </w:rPr>
        <w:t>shall allow waste-to-energy facilities to maximize acceptance and processing of nonhazardous solid and liquid waste.”</w:t>
      </w:r>
      <w:r w:rsidR="00EC78E1">
        <w:rPr>
          <w:color w:val="000000"/>
          <w:sz w:val="22"/>
          <w:szCs w:val="22"/>
          <w:shd w:val="clear" w:color="auto" w:fill="FFFFFF"/>
        </w:rPr>
        <w:t xml:space="preserve">  The </w:t>
      </w:r>
      <w:r w:rsidR="000F40D2">
        <w:rPr>
          <w:color w:val="000000"/>
          <w:sz w:val="22"/>
          <w:szCs w:val="22"/>
          <w:shd w:val="clear" w:color="auto" w:fill="FFFFFF"/>
        </w:rPr>
        <w:t xml:space="preserve">state-of-the-art </w:t>
      </w:r>
      <w:r w:rsidR="00EC78E1">
        <w:rPr>
          <w:color w:val="000000"/>
          <w:sz w:val="22"/>
          <w:szCs w:val="22"/>
          <w:shd w:val="clear" w:color="auto" w:fill="FFFFFF"/>
        </w:rPr>
        <w:t xml:space="preserve">pollution control equipment that is being installed at PBREF-2, including spray dryers, activated carbon injection, </w:t>
      </w:r>
      <w:r w:rsidR="000F40D2">
        <w:rPr>
          <w:color w:val="000000"/>
          <w:sz w:val="22"/>
          <w:szCs w:val="22"/>
          <w:shd w:val="clear" w:color="auto" w:fill="FFFFFF"/>
        </w:rPr>
        <w:t xml:space="preserve">fabric filter </w:t>
      </w:r>
      <w:r w:rsidR="000F40D2" w:rsidRPr="00EC78E1">
        <w:rPr>
          <w:color w:val="000000"/>
          <w:sz w:val="22"/>
          <w:szCs w:val="22"/>
          <w:shd w:val="clear" w:color="auto" w:fill="FFFFFF"/>
        </w:rPr>
        <w:t xml:space="preserve">baghouses, </w:t>
      </w:r>
      <w:r w:rsidR="00EC78E1">
        <w:rPr>
          <w:color w:val="000000"/>
          <w:sz w:val="22"/>
          <w:szCs w:val="22"/>
          <w:shd w:val="clear" w:color="auto" w:fill="FFFFFF"/>
        </w:rPr>
        <w:t xml:space="preserve">and selective catalytic reduction, </w:t>
      </w:r>
      <w:r w:rsidR="00DF1C54">
        <w:rPr>
          <w:color w:val="000000"/>
          <w:sz w:val="22"/>
          <w:szCs w:val="22"/>
          <w:shd w:val="clear" w:color="auto" w:fill="FFFFFF"/>
        </w:rPr>
        <w:t>will prevent this requested</w:t>
      </w:r>
      <w:r w:rsidR="00EC78E1">
        <w:rPr>
          <w:color w:val="000000"/>
          <w:sz w:val="22"/>
          <w:szCs w:val="22"/>
          <w:shd w:val="clear" w:color="auto" w:fill="FFFFFF"/>
        </w:rPr>
        <w:t xml:space="preserve"> change in permissible </w:t>
      </w:r>
      <w:r w:rsidR="008234B2">
        <w:rPr>
          <w:color w:val="000000"/>
          <w:sz w:val="22"/>
          <w:szCs w:val="22"/>
          <w:shd w:val="clear" w:color="auto" w:fill="FFFFFF"/>
        </w:rPr>
        <w:t xml:space="preserve">wastes </w:t>
      </w:r>
      <w:r w:rsidR="00EC78E1">
        <w:rPr>
          <w:color w:val="000000"/>
          <w:sz w:val="22"/>
          <w:szCs w:val="22"/>
          <w:shd w:val="clear" w:color="auto" w:fill="FFFFFF"/>
        </w:rPr>
        <w:t>from appreciably affecting emissions.</w:t>
      </w:r>
      <w:r w:rsidR="00BB7D3F">
        <w:rPr>
          <w:color w:val="000000"/>
          <w:sz w:val="22"/>
          <w:szCs w:val="22"/>
          <w:shd w:val="clear" w:color="auto" w:fill="FFFFFF"/>
        </w:rPr>
        <w:t xml:space="preserve">  </w:t>
      </w:r>
      <w:r w:rsidR="00FC0688">
        <w:rPr>
          <w:color w:val="000000"/>
          <w:sz w:val="22"/>
          <w:szCs w:val="22"/>
          <w:shd w:val="clear" w:color="auto" w:fill="FFFFFF"/>
        </w:rPr>
        <w:t>Additionally, initial compliance</w:t>
      </w:r>
      <w:r w:rsidR="00C34CCD">
        <w:rPr>
          <w:color w:val="000000"/>
          <w:sz w:val="22"/>
          <w:szCs w:val="22"/>
          <w:shd w:val="clear" w:color="auto" w:fill="FFFFFF"/>
        </w:rPr>
        <w:t xml:space="preserve"> testing</w:t>
      </w:r>
      <w:r w:rsidR="00FC0688">
        <w:rPr>
          <w:color w:val="000000"/>
          <w:sz w:val="22"/>
          <w:szCs w:val="22"/>
          <w:shd w:val="clear" w:color="auto" w:fill="FFFFFF"/>
        </w:rPr>
        <w:t xml:space="preserve"> and either continuous monitoring or annual stack tests will be performed to </w:t>
      </w:r>
      <w:r w:rsidR="00653684">
        <w:rPr>
          <w:color w:val="000000"/>
          <w:sz w:val="22"/>
          <w:szCs w:val="22"/>
          <w:shd w:val="clear" w:color="auto" w:fill="FFFFFF"/>
        </w:rPr>
        <w:t xml:space="preserve">measure emissions and demonstrate compliance with emissions standards for </w:t>
      </w:r>
      <w:r w:rsidR="00FC0688">
        <w:rPr>
          <w:color w:val="000000"/>
          <w:sz w:val="22"/>
          <w:szCs w:val="22"/>
          <w:shd w:val="clear" w:color="auto" w:fill="FFFFFF"/>
        </w:rPr>
        <w:t>NO</w:t>
      </w:r>
      <w:r w:rsidR="00FC0688" w:rsidRPr="00A815E0">
        <w:rPr>
          <w:color w:val="000000"/>
          <w:sz w:val="22"/>
          <w:szCs w:val="22"/>
          <w:shd w:val="clear" w:color="auto" w:fill="FFFFFF"/>
          <w:vertAlign w:val="subscript"/>
        </w:rPr>
        <w:t>x</w:t>
      </w:r>
      <w:r w:rsidR="00FC0688">
        <w:rPr>
          <w:color w:val="000000"/>
          <w:sz w:val="22"/>
          <w:szCs w:val="22"/>
          <w:shd w:val="clear" w:color="auto" w:fill="FFFFFF"/>
        </w:rPr>
        <w:t>, VOC, CO, SO</w:t>
      </w:r>
      <w:r w:rsidR="00FC0688" w:rsidRPr="00A815E0">
        <w:rPr>
          <w:color w:val="000000"/>
          <w:sz w:val="22"/>
          <w:szCs w:val="22"/>
          <w:shd w:val="clear" w:color="auto" w:fill="FFFFFF"/>
          <w:vertAlign w:val="subscript"/>
        </w:rPr>
        <w:t>2</w:t>
      </w:r>
      <w:r w:rsidR="00FC0688">
        <w:rPr>
          <w:color w:val="000000"/>
          <w:sz w:val="22"/>
          <w:szCs w:val="22"/>
          <w:shd w:val="clear" w:color="auto" w:fill="FFFFFF"/>
        </w:rPr>
        <w:t xml:space="preserve">, HCl, PM, Pb, Cd, Hg, and dioxins/furans as well as visible emissions and ammonia slip.  </w:t>
      </w:r>
      <w:r w:rsidR="00D0169D">
        <w:rPr>
          <w:color w:val="000000"/>
          <w:sz w:val="22"/>
          <w:szCs w:val="22"/>
          <w:shd w:val="clear" w:color="auto" w:fill="FFFFFF"/>
        </w:rPr>
        <w:t xml:space="preserve">Also, Permit Condition 13 requires that any non-MSW materials received in a segregated load be well mixed with MSW in the refuse pit, or be alternately charged with MSW in the hopper. </w:t>
      </w:r>
      <w:r w:rsidR="00FC0688">
        <w:rPr>
          <w:color w:val="000000"/>
          <w:sz w:val="22"/>
          <w:szCs w:val="22"/>
          <w:shd w:val="clear" w:color="auto" w:fill="FFFFFF"/>
        </w:rPr>
        <w:t xml:space="preserve">If unexpected emissions do occur, these regular measurements would </w:t>
      </w:r>
      <w:r w:rsidR="00C34CCD">
        <w:rPr>
          <w:color w:val="000000"/>
          <w:sz w:val="22"/>
          <w:szCs w:val="22"/>
          <w:shd w:val="clear" w:color="auto" w:fill="FFFFFF"/>
        </w:rPr>
        <w:t>show</w:t>
      </w:r>
      <w:r w:rsidR="00FC0688">
        <w:rPr>
          <w:color w:val="000000"/>
          <w:sz w:val="22"/>
          <w:szCs w:val="22"/>
          <w:shd w:val="clear" w:color="auto" w:fill="FFFFFF"/>
        </w:rPr>
        <w:t xml:space="preserve"> them.  </w:t>
      </w:r>
    </w:p>
    <w:p w:rsidR="00374C3E" w:rsidRDefault="00374C3E" w:rsidP="00E56EC9">
      <w:pPr>
        <w:pStyle w:val="BodyText"/>
        <w:rPr>
          <w:color w:val="000000"/>
          <w:sz w:val="22"/>
          <w:szCs w:val="22"/>
          <w:shd w:val="clear" w:color="auto" w:fill="FFFFFF"/>
        </w:rPr>
      </w:pPr>
      <w:r>
        <w:rPr>
          <w:color w:val="000000"/>
          <w:sz w:val="22"/>
          <w:szCs w:val="22"/>
          <w:shd w:val="clear" w:color="auto" w:fill="FFFFFF"/>
        </w:rPr>
        <w:t xml:space="preserve">Biosolids are becoming an important component of the waste </w:t>
      </w:r>
      <w:r w:rsidR="000F40D2">
        <w:rPr>
          <w:color w:val="000000"/>
          <w:sz w:val="22"/>
          <w:szCs w:val="22"/>
          <w:shd w:val="clear" w:color="auto" w:fill="FFFFFF"/>
        </w:rPr>
        <w:t>burned</w:t>
      </w:r>
      <w:r>
        <w:rPr>
          <w:color w:val="000000"/>
          <w:sz w:val="22"/>
          <w:szCs w:val="22"/>
          <w:shd w:val="clear" w:color="auto" w:fill="FFFFFF"/>
        </w:rPr>
        <w:t xml:space="preserve"> in municipal waste combustors across Florida.  Several of the largest waste combustors across</w:t>
      </w:r>
      <w:r w:rsidR="00653684">
        <w:rPr>
          <w:color w:val="000000"/>
          <w:sz w:val="22"/>
          <w:szCs w:val="22"/>
          <w:shd w:val="clear" w:color="auto" w:fill="FFFFFF"/>
        </w:rPr>
        <w:t xml:space="preserve"> the state are authorized to burn biosolids</w:t>
      </w:r>
      <w:r>
        <w:rPr>
          <w:color w:val="000000"/>
          <w:sz w:val="22"/>
          <w:szCs w:val="22"/>
          <w:shd w:val="clear" w:color="auto" w:fill="FFFFFF"/>
        </w:rPr>
        <w:t xml:space="preserve">: waste combusted at the Hillsborough and Lee County facilities may consist of up to 5% biosolids by weight, while waste at the South </w:t>
      </w:r>
      <w:r>
        <w:rPr>
          <w:color w:val="000000"/>
          <w:sz w:val="22"/>
          <w:szCs w:val="22"/>
          <w:shd w:val="clear" w:color="auto" w:fill="FFFFFF"/>
        </w:rPr>
        <w:lastRenderedPageBreak/>
        <w:t>Broward and North Broward facilities may consist of up to 15% biosolids (pending the results of initial testing).  The 5% biosolids limit at PBREF-2 is in line with the limits at these other facilities.</w:t>
      </w:r>
      <w:r w:rsidR="002B7726">
        <w:rPr>
          <w:color w:val="000000"/>
          <w:sz w:val="22"/>
          <w:szCs w:val="22"/>
          <w:shd w:val="clear" w:color="auto" w:fill="FFFFFF"/>
        </w:rPr>
        <w:t xml:space="preserve">  </w:t>
      </w:r>
      <w:r w:rsidR="002F7A57">
        <w:rPr>
          <w:color w:val="000000"/>
          <w:sz w:val="22"/>
          <w:szCs w:val="22"/>
          <w:shd w:val="clear" w:color="auto" w:fill="FFFFFF"/>
        </w:rPr>
        <w:t xml:space="preserve">As was noted in the </w:t>
      </w:r>
      <w:hyperlink r:id="rId17" w:history="1">
        <w:r w:rsidR="002F7A57" w:rsidRPr="002F7A57">
          <w:rPr>
            <w:rStyle w:val="Hyperlink"/>
            <w:sz w:val="22"/>
            <w:szCs w:val="22"/>
            <w:shd w:val="clear" w:color="auto" w:fill="FFFFFF"/>
          </w:rPr>
          <w:t>Technical Evaluation and Preliminary Determination for biosolids at the North Broward facility</w:t>
        </w:r>
      </w:hyperlink>
      <w:r w:rsidR="002F7A57">
        <w:rPr>
          <w:color w:val="000000"/>
          <w:sz w:val="22"/>
          <w:szCs w:val="22"/>
          <w:shd w:val="clear" w:color="auto" w:fill="FFFFFF"/>
        </w:rPr>
        <w:t xml:space="preserve"> (Permit No. 0112120-017-AC), dried biosolids can have a heat content of up to 10,300 BTU/lb, and the very high temperatures at which waste is combusted destroy essentially all pathogens in the waste.</w:t>
      </w:r>
      <w:r w:rsidR="000F40D2">
        <w:rPr>
          <w:color w:val="000000"/>
          <w:sz w:val="22"/>
          <w:szCs w:val="22"/>
          <w:shd w:val="clear" w:color="auto" w:fill="FFFFFF"/>
        </w:rPr>
        <w:t xml:space="preserve">  A 5% limit on tires is also in place at the Lee County municipal waste combustor</w:t>
      </w:r>
      <w:r w:rsidR="002F3527">
        <w:rPr>
          <w:color w:val="000000"/>
          <w:sz w:val="22"/>
          <w:szCs w:val="22"/>
          <w:shd w:val="clear" w:color="auto" w:fill="FFFFFF"/>
        </w:rPr>
        <w:t>;</w:t>
      </w:r>
      <w:r w:rsidR="000F40D2">
        <w:rPr>
          <w:color w:val="000000"/>
          <w:sz w:val="22"/>
          <w:szCs w:val="22"/>
          <w:shd w:val="clear" w:color="auto" w:fill="FFFFFF"/>
        </w:rPr>
        <w:t xml:space="preserve"> </w:t>
      </w:r>
      <w:r w:rsidR="002F3527">
        <w:rPr>
          <w:color w:val="000000"/>
          <w:sz w:val="22"/>
          <w:szCs w:val="22"/>
          <w:shd w:val="clear" w:color="auto" w:fill="FFFFFF"/>
        </w:rPr>
        <w:t xml:space="preserve">most other MWCs in the state are permitted to burn waste tires as up to 3% of their </w:t>
      </w:r>
      <w:r w:rsidR="00653684">
        <w:rPr>
          <w:color w:val="000000"/>
          <w:sz w:val="22"/>
          <w:szCs w:val="22"/>
          <w:shd w:val="clear" w:color="auto" w:fill="FFFFFF"/>
        </w:rPr>
        <w:t>waste mix</w:t>
      </w:r>
      <w:r w:rsidR="000F40D2">
        <w:rPr>
          <w:color w:val="000000"/>
          <w:sz w:val="22"/>
          <w:szCs w:val="22"/>
          <w:shd w:val="clear" w:color="auto" w:fill="FFFFFF"/>
        </w:rPr>
        <w:t xml:space="preserve">.  </w:t>
      </w:r>
    </w:p>
    <w:p w:rsidR="002B7726" w:rsidRDefault="002B7726" w:rsidP="00E56EC9">
      <w:pPr>
        <w:pStyle w:val="BodyText"/>
        <w:rPr>
          <w:color w:val="000000"/>
          <w:sz w:val="22"/>
          <w:szCs w:val="22"/>
          <w:shd w:val="clear" w:color="auto" w:fill="FFFFFF"/>
        </w:rPr>
      </w:pPr>
      <w:r>
        <w:rPr>
          <w:color w:val="000000"/>
          <w:sz w:val="22"/>
          <w:szCs w:val="22"/>
          <w:shd w:val="clear" w:color="auto" w:fill="FFFFFF"/>
        </w:rPr>
        <w:t>Some of these materials are rather novel for Florida municipal waste combustors.  Waste processing residue from ethanol production (5% limit), waste gasification process residue (5% limit), and livestock waste (including straw, wood shavings, hay, feed, and excreta) (10% limit)</w:t>
      </w:r>
      <w:r w:rsidR="00D47F9E">
        <w:rPr>
          <w:color w:val="000000"/>
          <w:sz w:val="22"/>
          <w:szCs w:val="22"/>
          <w:shd w:val="clear" w:color="auto" w:fill="FFFFFF"/>
        </w:rPr>
        <w:t xml:space="preserve"> are not commonly used </w:t>
      </w:r>
      <w:r w:rsidR="00653684">
        <w:rPr>
          <w:color w:val="000000"/>
          <w:sz w:val="22"/>
          <w:szCs w:val="22"/>
          <w:shd w:val="clear" w:color="auto" w:fill="FFFFFF"/>
        </w:rPr>
        <w:t>in</w:t>
      </w:r>
      <w:r w:rsidR="00D47F9E">
        <w:rPr>
          <w:color w:val="000000"/>
          <w:sz w:val="22"/>
          <w:szCs w:val="22"/>
          <w:shd w:val="clear" w:color="auto" w:fill="FFFFFF"/>
        </w:rPr>
        <w:t xml:space="preserve"> MWC</w:t>
      </w:r>
      <w:r w:rsidR="00653684">
        <w:rPr>
          <w:color w:val="000000"/>
          <w:sz w:val="22"/>
          <w:szCs w:val="22"/>
          <w:shd w:val="clear" w:color="auto" w:fill="FFFFFF"/>
        </w:rPr>
        <w:t>s</w:t>
      </w:r>
      <w:r w:rsidR="000F40D2">
        <w:rPr>
          <w:color w:val="000000"/>
          <w:sz w:val="22"/>
          <w:szCs w:val="22"/>
          <w:shd w:val="clear" w:color="auto" w:fill="FFFFFF"/>
        </w:rPr>
        <w:t>.  However, t</w:t>
      </w:r>
      <w:r>
        <w:rPr>
          <w:color w:val="000000"/>
          <w:sz w:val="22"/>
          <w:szCs w:val="22"/>
          <w:shd w:val="clear" w:color="auto" w:fill="FFFFFF"/>
        </w:rPr>
        <w:t xml:space="preserve">hese materials are quite similar to the </w:t>
      </w:r>
      <w:r w:rsidR="00D47F9E">
        <w:rPr>
          <w:color w:val="000000"/>
          <w:sz w:val="22"/>
          <w:szCs w:val="22"/>
          <w:shd w:val="clear" w:color="auto" w:fill="FFFFFF"/>
        </w:rPr>
        <w:t xml:space="preserve">carbonaceous fuels such as </w:t>
      </w:r>
      <w:r>
        <w:rPr>
          <w:color w:val="000000"/>
          <w:sz w:val="22"/>
          <w:szCs w:val="22"/>
          <w:shd w:val="clear" w:color="auto" w:fill="FFFFFF"/>
        </w:rPr>
        <w:t>biomass and plastics that are commonly burned in electrical generating units and municipal waste com</w:t>
      </w:r>
      <w:r w:rsidR="002F7A57">
        <w:rPr>
          <w:color w:val="000000"/>
          <w:sz w:val="22"/>
          <w:szCs w:val="22"/>
          <w:shd w:val="clear" w:color="auto" w:fill="FFFFFF"/>
        </w:rPr>
        <w:t>bustors.  High combustion temperatures would also destroy any p</w:t>
      </w:r>
      <w:r w:rsidR="00653684">
        <w:rPr>
          <w:color w:val="000000"/>
          <w:sz w:val="22"/>
          <w:szCs w:val="22"/>
          <w:shd w:val="clear" w:color="auto" w:fill="FFFFFF"/>
        </w:rPr>
        <w:t>otential</w:t>
      </w:r>
      <w:r w:rsidR="002F7A57">
        <w:rPr>
          <w:color w:val="000000"/>
          <w:sz w:val="22"/>
          <w:szCs w:val="22"/>
          <w:shd w:val="clear" w:color="auto" w:fill="FFFFFF"/>
        </w:rPr>
        <w:t xml:space="preserve"> pathogens in livestock waste</w:t>
      </w:r>
      <w:r w:rsidR="00D47F9E">
        <w:rPr>
          <w:color w:val="000000"/>
          <w:sz w:val="22"/>
          <w:szCs w:val="22"/>
          <w:shd w:val="clear" w:color="auto" w:fill="FFFFFF"/>
        </w:rPr>
        <w:t xml:space="preserve"> materials</w:t>
      </w:r>
      <w:r w:rsidR="002F7A57">
        <w:rPr>
          <w:color w:val="000000"/>
          <w:sz w:val="22"/>
          <w:szCs w:val="22"/>
          <w:shd w:val="clear" w:color="auto" w:fill="FFFFFF"/>
        </w:rPr>
        <w:t>.</w:t>
      </w:r>
      <w:r w:rsidR="000F40D2">
        <w:rPr>
          <w:color w:val="000000"/>
          <w:sz w:val="22"/>
          <w:szCs w:val="22"/>
          <w:shd w:val="clear" w:color="auto" w:fill="FFFFFF"/>
        </w:rPr>
        <w:t xml:space="preserve">  </w:t>
      </w:r>
      <w:r w:rsidR="006B2CC9">
        <w:rPr>
          <w:color w:val="000000"/>
          <w:sz w:val="22"/>
          <w:szCs w:val="22"/>
          <w:shd w:val="clear" w:color="auto" w:fill="FFFFFF"/>
        </w:rPr>
        <w:t xml:space="preserve">The residues generated when recycling construction and demolition debris, when processing MSW to make refuse-derived fuel, when processing recovered materials, and when processing recyclables are also novel MWC fuels.  </w:t>
      </w:r>
      <w:r w:rsidR="00093BAD">
        <w:rPr>
          <w:color w:val="000000"/>
          <w:sz w:val="22"/>
          <w:szCs w:val="22"/>
          <w:shd w:val="clear" w:color="auto" w:fill="FFFFFF"/>
        </w:rPr>
        <w:t>However, t</w:t>
      </w:r>
      <w:r w:rsidR="006B2CC9">
        <w:rPr>
          <w:color w:val="000000"/>
          <w:sz w:val="22"/>
          <w:szCs w:val="22"/>
          <w:shd w:val="clear" w:color="auto" w:fill="FFFFFF"/>
        </w:rPr>
        <w:t>hese materials would not be expected to differ substantially in composition from traditional MSW.</w:t>
      </w:r>
    </w:p>
    <w:p w:rsidR="00653684" w:rsidRDefault="00653684" w:rsidP="00653684">
      <w:pPr>
        <w:pStyle w:val="BodyText"/>
        <w:rPr>
          <w:color w:val="000000"/>
          <w:sz w:val="22"/>
          <w:szCs w:val="22"/>
          <w:shd w:val="clear" w:color="auto" w:fill="FFFFFF"/>
        </w:rPr>
      </w:pPr>
      <w:r>
        <w:rPr>
          <w:color w:val="000000"/>
          <w:sz w:val="22"/>
          <w:szCs w:val="22"/>
          <w:shd w:val="clear" w:color="auto" w:fill="FFFFFF"/>
        </w:rPr>
        <w:t>This change in permitted wastes has been incorporated into the air construction permit.</w:t>
      </w:r>
    </w:p>
    <w:p w:rsidR="00B2074B" w:rsidRPr="00E56EC9" w:rsidRDefault="00B2074B" w:rsidP="00E56EC9">
      <w:pPr>
        <w:pStyle w:val="ListParagraph"/>
        <w:numPr>
          <w:ilvl w:val="2"/>
          <w:numId w:val="12"/>
        </w:numPr>
        <w:spacing w:after="120"/>
        <w:ind w:left="720" w:hanging="720"/>
        <w:contextualSpacing w:val="0"/>
        <w:rPr>
          <w:sz w:val="22"/>
          <w:szCs w:val="22"/>
          <w:u w:val="single"/>
        </w:rPr>
      </w:pPr>
      <w:r w:rsidRPr="00E56EC9">
        <w:rPr>
          <w:sz w:val="22"/>
          <w:szCs w:val="22"/>
          <w:u w:val="single"/>
        </w:rPr>
        <w:t xml:space="preserve">Clarification on the use of continuous emissions </w:t>
      </w:r>
      <w:r w:rsidR="00BB7D3F" w:rsidRPr="00E56EC9">
        <w:rPr>
          <w:sz w:val="22"/>
          <w:szCs w:val="22"/>
          <w:u w:val="single"/>
        </w:rPr>
        <w:t xml:space="preserve">monitors to demonstrate compliance </w:t>
      </w:r>
      <w:r w:rsidR="00A42E4E" w:rsidRPr="00E56EC9">
        <w:rPr>
          <w:sz w:val="22"/>
          <w:szCs w:val="22"/>
          <w:u w:val="single"/>
        </w:rPr>
        <w:br/>
      </w:r>
      <w:r w:rsidR="00BB7D3F" w:rsidRPr="00E56EC9">
        <w:rPr>
          <w:sz w:val="22"/>
          <w:szCs w:val="22"/>
          <w:u w:val="single"/>
        </w:rPr>
        <w:t>(</w:t>
      </w:r>
      <w:r w:rsidRPr="00E56EC9">
        <w:rPr>
          <w:sz w:val="22"/>
          <w:szCs w:val="22"/>
          <w:u w:val="single"/>
        </w:rPr>
        <w:t xml:space="preserve">Conditions </w:t>
      </w:r>
      <w:r w:rsidR="00BB7D3F" w:rsidRPr="00E56EC9">
        <w:rPr>
          <w:sz w:val="22"/>
          <w:szCs w:val="22"/>
          <w:u w:val="single"/>
        </w:rPr>
        <w:t>17</w:t>
      </w:r>
      <w:r w:rsidRPr="00E56EC9">
        <w:rPr>
          <w:sz w:val="22"/>
          <w:szCs w:val="22"/>
          <w:u w:val="single"/>
        </w:rPr>
        <w:t xml:space="preserve"> and 19)</w:t>
      </w:r>
    </w:p>
    <w:p w:rsidR="00B2074B" w:rsidRDefault="00B2074B" w:rsidP="00E56EC9">
      <w:pPr>
        <w:pStyle w:val="BodyText"/>
        <w:rPr>
          <w:color w:val="000000"/>
          <w:sz w:val="22"/>
          <w:szCs w:val="22"/>
          <w:shd w:val="clear" w:color="auto" w:fill="FFFFFF"/>
        </w:rPr>
      </w:pPr>
      <w:r w:rsidRPr="00E56EC9">
        <w:rPr>
          <w:i/>
          <w:color w:val="000000"/>
          <w:sz w:val="22"/>
          <w:szCs w:val="22"/>
          <w:shd w:val="clear" w:color="auto" w:fill="FFFFFF"/>
        </w:rPr>
        <w:t>Applicant request</w:t>
      </w:r>
      <w:r>
        <w:rPr>
          <w:color w:val="000000"/>
          <w:sz w:val="22"/>
          <w:szCs w:val="22"/>
          <w:shd w:val="clear" w:color="auto" w:fill="FFFFFF"/>
        </w:rPr>
        <w:t>:  SWA has requested clarification that tests, including initial compliance demonstrations, for emissions of SO</w:t>
      </w:r>
      <w:r w:rsidRPr="00BB7D3F">
        <w:rPr>
          <w:color w:val="000000"/>
          <w:sz w:val="22"/>
          <w:szCs w:val="22"/>
          <w:shd w:val="clear" w:color="auto" w:fill="FFFFFF"/>
          <w:vertAlign w:val="subscript"/>
        </w:rPr>
        <w:t>2</w:t>
      </w:r>
      <w:r>
        <w:rPr>
          <w:color w:val="000000"/>
          <w:sz w:val="22"/>
          <w:szCs w:val="22"/>
          <w:shd w:val="clear" w:color="auto" w:fill="FFFFFF"/>
        </w:rPr>
        <w:t>, NO</w:t>
      </w:r>
      <w:r w:rsidRPr="00BB7D3F">
        <w:rPr>
          <w:color w:val="000000"/>
          <w:sz w:val="22"/>
          <w:szCs w:val="22"/>
          <w:shd w:val="clear" w:color="auto" w:fill="FFFFFF"/>
          <w:vertAlign w:val="subscript"/>
        </w:rPr>
        <w:t>X</w:t>
      </w:r>
      <w:r>
        <w:rPr>
          <w:color w:val="000000"/>
          <w:sz w:val="22"/>
          <w:szCs w:val="22"/>
          <w:shd w:val="clear" w:color="auto" w:fill="FFFFFF"/>
        </w:rPr>
        <w:t>, and CO may be performed by certified continuous emissions monitors (CEMS)</w:t>
      </w:r>
      <w:r w:rsidR="00BB7D3F">
        <w:rPr>
          <w:color w:val="000000"/>
          <w:sz w:val="22"/>
          <w:szCs w:val="22"/>
          <w:shd w:val="clear" w:color="auto" w:fill="FFFFFF"/>
        </w:rPr>
        <w:t>.</w:t>
      </w:r>
    </w:p>
    <w:p w:rsidR="00BB7D3F" w:rsidRDefault="00BB7D3F" w:rsidP="00E56EC9">
      <w:pPr>
        <w:pStyle w:val="BodyText"/>
        <w:rPr>
          <w:color w:val="000000"/>
          <w:sz w:val="22"/>
          <w:szCs w:val="22"/>
          <w:shd w:val="clear" w:color="auto" w:fill="FFFFFF"/>
        </w:rPr>
      </w:pPr>
      <w:r w:rsidRPr="00E56EC9">
        <w:rPr>
          <w:i/>
          <w:color w:val="000000"/>
          <w:sz w:val="22"/>
          <w:szCs w:val="22"/>
          <w:shd w:val="clear" w:color="auto" w:fill="FFFFFF"/>
        </w:rPr>
        <w:t>Department response</w:t>
      </w:r>
      <w:r>
        <w:rPr>
          <w:color w:val="000000"/>
          <w:sz w:val="22"/>
          <w:szCs w:val="22"/>
          <w:shd w:val="clear" w:color="auto" w:fill="FFFFFF"/>
        </w:rPr>
        <w:t>:  The facility will include CEMS for these three pollutants.  These CEMS incorporate EPA-approved instrumental measurement methods for SO</w:t>
      </w:r>
      <w:r w:rsidRPr="00BB7D3F">
        <w:rPr>
          <w:color w:val="000000"/>
          <w:sz w:val="22"/>
          <w:szCs w:val="22"/>
          <w:shd w:val="clear" w:color="auto" w:fill="FFFFFF"/>
          <w:vertAlign w:val="subscript"/>
        </w:rPr>
        <w:t>2</w:t>
      </w:r>
      <w:r>
        <w:rPr>
          <w:color w:val="000000"/>
          <w:sz w:val="22"/>
          <w:szCs w:val="22"/>
          <w:shd w:val="clear" w:color="auto" w:fill="FFFFFF"/>
        </w:rPr>
        <w:t xml:space="preserve"> (Method 6C), NO</w:t>
      </w:r>
      <w:r w:rsidRPr="00BB7D3F">
        <w:rPr>
          <w:color w:val="000000"/>
          <w:sz w:val="22"/>
          <w:szCs w:val="22"/>
          <w:shd w:val="clear" w:color="auto" w:fill="FFFFFF"/>
          <w:vertAlign w:val="subscript"/>
        </w:rPr>
        <w:t>X</w:t>
      </w:r>
      <w:r>
        <w:rPr>
          <w:color w:val="000000"/>
          <w:sz w:val="22"/>
          <w:szCs w:val="22"/>
          <w:shd w:val="clear" w:color="auto" w:fill="FFFFFF"/>
        </w:rPr>
        <w:t xml:space="preserve"> (Method 7E), and CO (Method 10).  </w:t>
      </w:r>
      <w:r w:rsidR="00653684">
        <w:rPr>
          <w:color w:val="000000"/>
          <w:sz w:val="22"/>
          <w:szCs w:val="22"/>
          <w:shd w:val="clear" w:color="auto" w:fill="FFFFFF"/>
        </w:rPr>
        <w:t xml:space="preserve">The permit for the facility also includes requirements for quality assurance and quality control for the CEMS, as well as initial performance specification tests to certify this equipment.  </w:t>
      </w:r>
      <w:r>
        <w:rPr>
          <w:color w:val="000000"/>
          <w:sz w:val="22"/>
          <w:szCs w:val="22"/>
          <w:shd w:val="clear" w:color="auto" w:fill="FFFFFF"/>
        </w:rPr>
        <w:t>The use of CEMS for these purposes is</w:t>
      </w:r>
      <w:r w:rsidR="002F3527">
        <w:rPr>
          <w:color w:val="000000"/>
          <w:sz w:val="22"/>
          <w:szCs w:val="22"/>
          <w:shd w:val="clear" w:color="auto" w:fill="FFFFFF"/>
        </w:rPr>
        <w:t xml:space="preserve"> common and</w:t>
      </w:r>
      <w:r>
        <w:rPr>
          <w:color w:val="000000"/>
          <w:sz w:val="22"/>
          <w:szCs w:val="22"/>
          <w:shd w:val="clear" w:color="auto" w:fill="FFFFFF"/>
        </w:rPr>
        <w:t xml:space="preserve"> reasonable, and this clarification has been incorporated.</w:t>
      </w:r>
    </w:p>
    <w:p w:rsidR="00BB7D3F" w:rsidRPr="00E56EC9" w:rsidRDefault="00BB7D3F" w:rsidP="00E56EC9">
      <w:pPr>
        <w:pStyle w:val="ListParagraph"/>
        <w:numPr>
          <w:ilvl w:val="2"/>
          <w:numId w:val="12"/>
        </w:numPr>
        <w:spacing w:after="120"/>
        <w:ind w:left="720" w:hanging="720"/>
        <w:contextualSpacing w:val="0"/>
        <w:rPr>
          <w:sz w:val="22"/>
          <w:szCs w:val="22"/>
          <w:u w:val="single"/>
        </w:rPr>
      </w:pPr>
      <w:r w:rsidRPr="00E56EC9">
        <w:rPr>
          <w:sz w:val="22"/>
          <w:szCs w:val="22"/>
          <w:u w:val="single"/>
        </w:rPr>
        <w:t>Modification to testing requirements for NO</w:t>
      </w:r>
      <w:r w:rsidRPr="00EB17CF">
        <w:rPr>
          <w:sz w:val="22"/>
          <w:szCs w:val="22"/>
          <w:u w:val="single"/>
          <w:vertAlign w:val="subscript"/>
        </w:rPr>
        <w:t>X</w:t>
      </w:r>
      <w:r w:rsidRPr="00E56EC9">
        <w:rPr>
          <w:sz w:val="22"/>
          <w:szCs w:val="22"/>
          <w:u w:val="single"/>
        </w:rPr>
        <w:t xml:space="preserve"> and HCl (Condition 17)</w:t>
      </w:r>
    </w:p>
    <w:p w:rsidR="00BB7D3F" w:rsidRDefault="00BB7D3F" w:rsidP="00E56EC9">
      <w:pPr>
        <w:pStyle w:val="BodyText"/>
        <w:rPr>
          <w:color w:val="000000"/>
          <w:sz w:val="22"/>
          <w:szCs w:val="22"/>
          <w:shd w:val="clear" w:color="auto" w:fill="FFFFFF"/>
        </w:rPr>
      </w:pPr>
      <w:r w:rsidRPr="00E56EC9">
        <w:rPr>
          <w:i/>
          <w:color w:val="000000"/>
          <w:sz w:val="22"/>
          <w:szCs w:val="22"/>
          <w:shd w:val="clear" w:color="auto" w:fill="FFFFFF"/>
        </w:rPr>
        <w:t>Applicant request</w:t>
      </w:r>
      <w:r>
        <w:rPr>
          <w:color w:val="000000"/>
          <w:sz w:val="22"/>
          <w:szCs w:val="22"/>
          <w:shd w:val="clear" w:color="auto" w:fill="FFFFFF"/>
        </w:rPr>
        <w:t xml:space="preserve">:  SWA has requested that </w:t>
      </w:r>
      <w:r w:rsidR="00F3533A">
        <w:rPr>
          <w:color w:val="000000"/>
          <w:sz w:val="22"/>
          <w:szCs w:val="22"/>
          <w:shd w:val="clear" w:color="auto" w:fill="FFFFFF"/>
        </w:rPr>
        <w:t>the item regarding NO</w:t>
      </w:r>
      <w:r w:rsidR="00F3533A" w:rsidRPr="006060BC">
        <w:rPr>
          <w:color w:val="000000"/>
          <w:sz w:val="22"/>
          <w:szCs w:val="22"/>
          <w:shd w:val="clear" w:color="auto" w:fill="FFFFFF"/>
          <w:vertAlign w:val="subscript"/>
        </w:rPr>
        <w:t>X</w:t>
      </w:r>
      <w:r w:rsidR="00F3533A">
        <w:rPr>
          <w:color w:val="000000"/>
          <w:sz w:val="22"/>
          <w:szCs w:val="22"/>
          <w:shd w:val="clear" w:color="auto" w:fill="FFFFFF"/>
        </w:rPr>
        <w:t xml:space="preserve"> testing in Condition 17 not require the NO</w:t>
      </w:r>
      <w:r w:rsidR="00F3533A" w:rsidRPr="00F3533A">
        <w:rPr>
          <w:color w:val="000000"/>
          <w:sz w:val="22"/>
          <w:szCs w:val="22"/>
          <w:shd w:val="clear" w:color="auto" w:fill="FFFFFF"/>
          <w:vertAlign w:val="subscript"/>
        </w:rPr>
        <w:t>X</w:t>
      </w:r>
      <w:r w:rsidR="00F3533A">
        <w:rPr>
          <w:color w:val="000000"/>
          <w:sz w:val="22"/>
          <w:szCs w:val="22"/>
          <w:shd w:val="clear" w:color="auto" w:fill="FFFFFF"/>
        </w:rPr>
        <w:t xml:space="preserve"> test to occur with the air heater operating “at the highest heat input possible” during the test.  This </w:t>
      </w:r>
      <w:r w:rsidR="006060BC">
        <w:rPr>
          <w:color w:val="000000"/>
          <w:sz w:val="22"/>
          <w:szCs w:val="22"/>
          <w:shd w:val="clear" w:color="auto" w:fill="FFFFFF"/>
        </w:rPr>
        <w:t xml:space="preserve">change </w:t>
      </w:r>
      <w:r w:rsidR="00F3533A">
        <w:rPr>
          <w:color w:val="000000"/>
          <w:sz w:val="22"/>
          <w:szCs w:val="22"/>
          <w:shd w:val="clear" w:color="auto" w:fill="FFFFFF"/>
        </w:rPr>
        <w:t>was requested because operating the air heater at the highest heat input possible can adversely affect performance, according to SWA.  The applicant has also requested permission to modify the test method for HCl (Method 26) to use full-size impingers in lieu of midget impingers and to use one empty impinger in lieu of two sodium hydroxide impingers.</w:t>
      </w:r>
    </w:p>
    <w:p w:rsidR="00F3533A" w:rsidRDefault="00F3533A" w:rsidP="00E56EC9">
      <w:pPr>
        <w:pStyle w:val="BodyText"/>
        <w:rPr>
          <w:color w:val="000000"/>
          <w:sz w:val="22"/>
          <w:szCs w:val="22"/>
          <w:shd w:val="clear" w:color="auto" w:fill="FFFFFF"/>
        </w:rPr>
      </w:pPr>
      <w:r w:rsidRPr="00E56EC9">
        <w:rPr>
          <w:i/>
          <w:color w:val="000000"/>
          <w:sz w:val="22"/>
          <w:szCs w:val="22"/>
          <w:shd w:val="clear" w:color="auto" w:fill="FFFFFF"/>
        </w:rPr>
        <w:t>Department response</w:t>
      </w:r>
      <w:r>
        <w:rPr>
          <w:color w:val="000000"/>
          <w:sz w:val="22"/>
          <w:szCs w:val="22"/>
          <w:shd w:val="clear" w:color="auto" w:fill="FFFFFF"/>
        </w:rPr>
        <w:t>:  Removing the requirement to perform the NO</w:t>
      </w:r>
      <w:r w:rsidRPr="00025BCB">
        <w:rPr>
          <w:color w:val="000000"/>
          <w:sz w:val="22"/>
          <w:szCs w:val="22"/>
          <w:shd w:val="clear" w:color="auto" w:fill="FFFFFF"/>
          <w:vertAlign w:val="subscript"/>
        </w:rPr>
        <w:t>X</w:t>
      </w:r>
      <w:r>
        <w:rPr>
          <w:color w:val="000000"/>
          <w:sz w:val="22"/>
          <w:szCs w:val="22"/>
          <w:shd w:val="clear" w:color="auto" w:fill="FFFFFF"/>
        </w:rPr>
        <w:t xml:space="preserve"> measurement with the air heater operating at the highest heat input possible will result in a measurement that is more representative of regular</w:t>
      </w:r>
      <w:r w:rsidR="006060BC">
        <w:rPr>
          <w:color w:val="000000"/>
          <w:sz w:val="22"/>
          <w:szCs w:val="22"/>
          <w:shd w:val="clear" w:color="auto" w:fill="FFFFFF"/>
        </w:rPr>
        <w:t xml:space="preserve"> operating</w:t>
      </w:r>
      <w:r>
        <w:rPr>
          <w:color w:val="000000"/>
          <w:sz w:val="22"/>
          <w:szCs w:val="22"/>
          <w:shd w:val="clear" w:color="auto" w:fill="FFFFFF"/>
        </w:rPr>
        <w:t xml:space="preserve"> operations</w:t>
      </w:r>
      <w:r w:rsidR="00F0497C">
        <w:rPr>
          <w:color w:val="000000"/>
          <w:sz w:val="22"/>
          <w:szCs w:val="22"/>
          <w:shd w:val="clear" w:color="auto" w:fill="FFFFFF"/>
        </w:rPr>
        <w:t xml:space="preserve">.  </w:t>
      </w:r>
      <w:r w:rsidR="00773F81">
        <w:rPr>
          <w:color w:val="000000"/>
          <w:sz w:val="22"/>
          <w:szCs w:val="22"/>
          <w:shd w:val="clear" w:color="auto" w:fill="FFFFFF"/>
        </w:rPr>
        <w:t>Perhaps more importantly</w:t>
      </w:r>
      <w:r w:rsidR="00506589">
        <w:rPr>
          <w:color w:val="000000"/>
          <w:sz w:val="22"/>
          <w:szCs w:val="22"/>
          <w:shd w:val="clear" w:color="auto" w:fill="FFFFFF"/>
        </w:rPr>
        <w:t>, because the facility will measure emissions of NO</w:t>
      </w:r>
      <w:r w:rsidR="00506589" w:rsidRPr="006139F7">
        <w:rPr>
          <w:color w:val="000000"/>
          <w:sz w:val="22"/>
          <w:szCs w:val="22"/>
          <w:shd w:val="clear" w:color="auto" w:fill="FFFFFF"/>
          <w:vertAlign w:val="subscript"/>
        </w:rPr>
        <w:t>X</w:t>
      </w:r>
      <w:r w:rsidR="00506589">
        <w:rPr>
          <w:color w:val="000000"/>
          <w:sz w:val="22"/>
          <w:szCs w:val="22"/>
          <w:shd w:val="clear" w:color="auto" w:fill="FFFFFF"/>
        </w:rPr>
        <w:t xml:space="preserve"> and demonstrate compliance with NO</w:t>
      </w:r>
      <w:r w:rsidR="00506589" w:rsidRPr="006139F7">
        <w:rPr>
          <w:color w:val="000000"/>
          <w:sz w:val="22"/>
          <w:szCs w:val="22"/>
          <w:shd w:val="clear" w:color="auto" w:fill="FFFFFF"/>
          <w:vertAlign w:val="subscript"/>
        </w:rPr>
        <w:t>X</w:t>
      </w:r>
      <w:r w:rsidR="00506589">
        <w:rPr>
          <w:color w:val="000000"/>
          <w:sz w:val="22"/>
          <w:szCs w:val="22"/>
          <w:shd w:val="clear" w:color="auto" w:fill="FFFFFF"/>
        </w:rPr>
        <w:t xml:space="preserve"> emissions limits continuously using a CEMS, emissions and compliance are verified under all operating conditions.  </w:t>
      </w:r>
      <w:r w:rsidR="00F0497C">
        <w:rPr>
          <w:color w:val="000000"/>
          <w:sz w:val="22"/>
          <w:szCs w:val="22"/>
          <w:shd w:val="clear" w:color="auto" w:fill="FFFFFF"/>
        </w:rPr>
        <w:t xml:space="preserve">The modification to the HCl method will bring this requirement in line with the method already in use at the existing </w:t>
      </w:r>
      <w:r w:rsidR="00FC3D22">
        <w:rPr>
          <w:color w:val="000000"/>
          <w:sz w:val="22"/>
          <w:szCs w:val="22"/>
          <w:shd w:val="clear" w:color="auto" w:fill="FFFFFF"/>
        </w:rPr>
        <w:t>PBREF-1</w:t>
      </w:r>
      <w:r w:rsidR="00F0497C">
        <w:rPr>
          <w:color w:val="000000"/>
          <w:sz w:val="22"/>
          <w:szCs w:val="22"/>
          <w:shd w:val="clear" w:color="auto" w:fill="FFFFFF"/>
        </w:rPr>
        <w:t xml:space="preserve">, in construction Permit No. 0990234-019-AC/PSD-FL-108I and in operating Permit No. 0990234-031-AV.  Additionally, on the </w:t>
      </w:r>
      <w:hyperlink r:id="rId18" w:anchor="alt" w:history="1">
        <w:r w:rsidR="00F0497C" w:rsidRPr="00F0497C">
          <w:rPr>
            <w:rStyle w:val="Hyperlink"/>
            <w:sz w:val="22"/>
            <w:szCs w:val="22"/>
            <w:shd w:val="clear" w:color="auto" w:fill="FFFFFF"/>
          </w:rPr>
          <w:t>Method 26 website</w:t>
        </w:r>
      </w:hyperlink>
      <w:r w:rsidR="00F0497C">
        <w:rPr>
          <w:color w:val="000000"/>
          <w:sz w:val="22"/>
          <w:szCs w:val="22"/>
          <w:shd w:val="clear" w:color="auto" w:fill="FFFFFF"/>
        </w:rPr>
        <w:t xml:space="preserve">, EPA writes that such changes to HCl test methods are reasonable ones that </w:t>
      </w:r>
      <w:r w:rsidR="006060BC">
        <w:rPr>
          <w:color w:val="000000"/>
          <w:sz w:val="22"/>
          <w:szCs w:val="22"/>
          <w:shd w:val="clear" w:color="auto" w:fill="FFFFFF"/>
        </w:rPr>
        <w:t>can be approved routinely.  These</w:t>
      </w:r>
      <w:r w:rsidR="00F0497C">
        <w:rPr>
          <w:color w:val="000000"/>
          <w:sz w:val="22"/>
          <w:szCs w:val="22"/>
          <w:shd w:val="clear" w:color="auto" w:fill="FFFFFF"/>
        </w:rPr>
        <w:t xml:space="preserve"> changes have been incorporated.</w:t>
      </w:r>
    </w:p>
    <w:p w:rsidR="00AF1A46" w:rsidRPr="00E56EC9" w:rsidRDefault="00AF1A46" w:rsidP="00E56EC9">
      <w:pPr>
        <w:pStyle w:val="ListParagraph"/>
        <w:numPr>
          <w:ilvl w:val="2"/>
          <w:numId w:val="12"/>
        </w:numPr>
        <w:spacing w:after="120"/>
        <w:ind w:left="720" w:hanging="720"/>
        <w:contextualSpacing w:val="0"/>
        <w:rPr>
          <w:sz w:val="22"/>
          <w:szCs w:val="22"/>
          <w:u w:val="single"/>
        </w:rPr>
      </w:pPr>
      <w:r w:rsidRPr="00E56EC9">
        <w:rPr>
          <w:sz w:val="22"/>
          <w:szCs w:val="22"/>
          <w:u w:val="single"/>
        </w:rPr>
        <w:t>Modification to testing requirements for dioxins and furans (Condition</w:t>
      </w:r>
      <w:r w:rsidR="00EB17CF">
        <w:rPr>
          <w:sz w:val="22"/>
          <w:szCs w:val="22"/>
          <w:u w:val="single"/>
        </w:rPr>
        <w:t xml:space="preserve">s, 16, 19, 21 and </w:t>
      </w:r>
      <w:r w:rsidRPr="00E56EC9">
        <w:rPr>
          <w:sz w:val="22"/>
          <w:szCs w:val="22"/>
          <w:u w:val="single"/>
        </w:rPr>
        <w:t>22)</w:t>
      </w:r>
    </w:p>
    <w:p w:rsidR="00AF1A46" w:rsidRDefault="00AF1A46" w:rsidP="00E56EC9">
      <w:pPr>
        <w:pStyle w:val="BodyText"/>
        <w:rPr>
          <w:color w:val="000000"/>
          <w:sz w:val="22"/>
          <w:szCs w:val="22"/>
          <w:shd w:val="clear" w:color="auto" w:fill="FFFFFF"/>
        </w:rPr>
      </w:pPr>
      <w:r w:rsidRPr="00E56EC9">
        <w:rPr>
          <w:i/>
          <w:color w:val="000000"/>
          <w:sz w:val="22"/>
          <w:szCs w:val="22"/>
          <w:shd w:val="clear" w:color="auto" w:fill="FFFFFF"/>
        </w:rPr>
        <w:t>Applicant request</w:t>
      </w:r>
      <w:r w:rsidRPr="00AF1A46">
        <w:rPr>
          <w:color w:val="000000"/>
          <w:sz w:val="22"/>
          <w:szCs w:val="22"/>
          <w:shd w:val="clear" w:color="auto" w:fill="FFFFFF"/>
        </w:rPr>
        <w:t xml:space="preserve">: </w:t>
      </w:r>
      <w:r>
        <w:rPr>
          <w:color w:val="000000"/>
          <w:sz w:val="22"/>
          <w:szCs w:val="22"/>
          <w:shd w:val="clear" w:color="auto" w:fill="FFFFFF"/>
        </w:rPr>
        <w:t xml:space="preserve"> </w:t>
      </w:r>
      <w:r w:rsidRPr="00AF1A46">
        <w:rPr>
          <w:color w:val="000000"/>
          <w:sz w:val="22"/>
          <w:szCs w:val="22"/>
          <w:shd w:val="clear" w:color="auto" w:fill="FFFFFF"/>
        </w:rPr>
        <w:t>SWA</w:t>
      </w:r>
      <w:r>
        <w:rPr>
          <w:color w:val="000000"/>
          <w:sz w:val="22"/>
          <w:szCs w:val="22"/>
          <w:shd w:val="clear" w:color="auto" w:fill="FFFFFF"/>
        </w:rPr>
        <w:t xml:space="preserve"> has requested that the requirement for quarterly dioxin</w:t>
      </w:r>
      <w:r w:rsidR="00881B5C">
        <w:rPr>
          <w:color w:val="000000"/>
          <w:sz w:val="22"/>
          <w:szCs w:val="22"/>
          <w:shd w:val="clear" w:color="auto" w:fill="FFFFFF"/>
        </w:rPr>
        <w:t xml:space="preserve"> and </w:t>
      </w:r>
      <w:r>
        <w:rPr>
          <w:color w:val="000000"/>
          <w:sz w:val="22"/>
          <w:szCs w:val="22"/>
          <w:shd w:val="clear" w:color="auto" w:fill="FFFFFF"/>
        </w:rPr>
        <w:t>furan (D/F) testing for each municipal waste combustor unit be reduced from two years to one year.</w:t>
      </w:r>
    </w:p>
    <w:p w:rsidR="00AF1A46" w:rsidRPr="00AF1A46" w:rsidRDefault="00AF1A46" w:rsidP="00E56EC9">
      <w:pPr>
        <w:pStyle w:val="BodyText"/>
        <w:rPr>
          <w:color w:val="000000"/>
          <w:sz w:val="22"/>
          <w:szCs w:val="22"/>
          <w:shd w:val="clear" w:color="auto" w:fill="FFFFFF"/>
        </w:rPr>
      </w:pPr>
      <w:r w:rsidRPr="00E56EC9">
        <w:rPr>
          <w:i/>
          <w:color w:val="000000"/>
          <w:sz w:val="22"/>
          <w:szCs w:val="22"/>
          <w:shd w:val="clear" w:color="auto" w:fill="FFFFFF"/>
        </w:rPr>
        <w:t>Department response</w:t>
      </w:r>
      <w:r>
        <w:rPr>
          <w:color w:val="000000"/>
          <w:sz w:val="22"/>
          <w:szCs w:val="22"/>
          <w:shd w:val="clear" w:color="auto" w:fill="FFFFFF"/>
        </w:rPr>
        <w:t xml:space="preserve">:  Confidence in the ability of selective catalytic reduction (SCR) systems to greatly reduce D/F emissions continues to grow.  </w:t>
      </w:r>
      <w:hyperlink r:id="rId19" w:history="1">
        <w:r w:rsidRPr="00AF1A46">
          <w:rPr>
            <w:rStyle w:val="Hyperlink"/>
            <w:sz w:val="22"/>
            <w:szCs w:val="22"/>
            <w:shd w:val="clear" w:color="auto" w:fill="FFFFFF"/>
          </w:rPr>
          <w:t>SCR manufacturers</w:t>
        </w:r>
      </w:hyperlink>
      <w:r>
        <w:rPr>
          <w:color w:val="000000"/>
          <w:sz w:val="22"/>
          <w:szCs w:val="22"/>
          <w:shd w:val="clear" w:color="auto" w:fill="FFFFFF"/>
        </w:rPr>
        <w:t xml:space="preserve"> and </w:t>
      </w:r>
      <w:hyperlink r:id="rId20" w:history="1">
        <w:r w:rsidRPr="00AF1A46">
          <w:rPr>
            <w:rStyle w:val="Hyperlink"/>
            <w:sz w:val="22"/>
            <w:szCs w:val="22"/>
            <w:shd w:val="clear" w:color="auto" w:fill="FFFFFF"/>
          </w:rPr>
          <w:t>catalyst manufacturers</w:t>
        </w:r>
      </w:hyperlink>
      <w:r>
        <w:rPr>
          <w:color w:val="000000"/>
          <w:sz w:val="22"/>
          <w:szCs w:val="22"/>
          <w:shd w:val="clear" w:color="auto" w:fill="FFFFFF"/>
        </w:rPr>
        <w:t xml:space="preserve"> now market the D/F reduction </w:t>
      </w:r>
      <w:r>
        <w:rPr>
          <w:color w:val="000000"/>
          <w:sz w:val="22"/>
          <w:szCs w:val="22"/>
          <w:shd w:val="clear" w:color="auto" w:fill="FFFFFF"/>
        </w:rPr>
        <w:lastRenderedPageBreak/>
        <w:t>capabilities of SCR.</w:t>
      </w:r>
      <w:r w:rsidR="00E8647C">
        <w:rPr>
          <w:color w:val="000000"/>
          <w:sz w:val="22"/>
          <w:szCs w:val="22"/>
          <w:shd w:val="clear" w:color="auto" w:fill="FFFFFF"/>
        </w:rPr>
        <w:t xml:space="preserve">  One year of quarterly D/F testing will still result in at least 12 D/F tests (three units, four D/F tests per unit), which will provide considerable information on D/F emissions from PBREF-2.  </w:t>
      </w:r>
      <w:r w:rsidR="00DE79E6">
        <w:rPr>
          <w:color w:val="000000"/>
          <w:sz w:val="22"/>
          <w:szCs w:val="22"/>
          <w:shd w:val="clear" w:color="auto" w:fill="FFFFFF"/>
        </w:rPr>
        <w:t>Specific Conditions 16 and 22 of the permit set</w:t>
      </w:r>
      <w:r w:rsidR="00506589">
        <w:rPr>
          <w:color w:val="000000"/>
          <w:sz w:val="22"/>
          <w:szCs w:val="22"/>
          <w:shd w:val="clear" w:color="auto" w:fill="FFFFFF"/>
        </w:rPr>
        <w:t xml:space="preserve"> the D/F emissions limit as the </w:t>
      </w:r>
      <w:proofErr w:type="gramStart"/>
      <w:r w:rsidR="00506589">
        <w:rPr>
          <w:color w:val="000000"/>
          <w:sz w:val="22"/>
          <w:szCs w:val="22"/>
          <w:shd w:val="clear" w:color="auto" w:fill="FFFFFF"/>
        </w:rPr>
        <w:t>lesser</w:t>
      </w:r>
      <w:proofErr w:type="gramEnd"/>
      <w:r w:rsidR="00506589">
        <w:rPr>
          <w:color w:val="000000"/>
          <w:sz w:val="22"/>
          <w:szCs w:val="22"/>
          <w:shd w:val="clear" w:color="auto" w:fill="FFFFFF"/>
        </w:rPr>
        <w:t xml:space="preserve"> of either 10 ng/dscm, or the average of all quarterly D/F emissions tests multiplied by a factor of 10.</w:t>
      </w:r>
      <w:r w:rsidR="00C45842">
        <w:rPr>
          <w:color w:val="000000"/>
          <w:sz w:val="22"/>
          <w:szCs w:val="22"/>
          <w:shd w:val="clear" w:color="auto" w:fill="FFFFFF"/>
        </w:rPr>
        <w:t xml:space="preserve">  </w:t>
      </w:r>
      <w:r w:rsidR="00E8647C">
        <w:rPr>
          <w:color w:val="000000"/>
          <w:sz w:val="22"/>
          <w:szCs w:val="22"/>
          <w:shd w:val="clear" w:color="auto" w:fill="FFFFFF"/>
        </w:rPr>
        <w:t>One year of tests will likely be sufficient to understand the performance of the SCR system</w:t>
      </w:r>
      <w:r w:rsidR="00610D85">
        <w:rPr>
          <w:color w:val="000000"/>
          <w:sz w:val="22"/>
          <w:szCs w:val="22"/>
          <w:shd w:val="clear" w:color="auto" w:fill="FFFFFF"/>
        </w:rPr>
        <w:t xml:space="preserve"> for reducing D/F emissions and for quantifying D/F emissions from PBREF-2.  The option to terminate quarterly D/F testing after one year</w:t>
      </w:r>
      <w:r w:rsidR="00F13CA6">
        <w:rPr>
          <w:color w:val="000000"/>
          <w:sz w:val="22"/>
          <w:szCs w:val="22"/>
          <w:shd w:val="clear" w:color="auto" w:fill="FFFFFF"/>
        </w:rPr>
        <w:t>, upon approval by the Department pending the results of initial D/F testing,</w:t>
      </w:r>
      <w:r w:rsidR="00610D85">
        <w:rPr>
          <w:color w:val="000000"/>
          <w:sz w:val="22"/>
          <w:szCs w:val="22"/>
          <w:shd w:val="clear" w:color="auto" w:fill="FFFFFF"/>
        </w:rPr>
        <w:t xml:space="preserve"> has been incorporated</w:t>
      </w:r>
      <w:r w:rsidR="00DA39AC">
        <w:rPr>
          <w:color w:val="000000"/>
          <w:sz w:val="22"/>
          <w:szCs w:val="22"/>
          <w:shd w:val="clear" w:color="auto" w:fill="FFFFFF"/>
        </w:rPr>
        <w:t xml:space="preserve"> into the draft permit</w:t>
      </w:r>
      <w:r w:rsidR="00610D85">
        <w:rPr>
          <w:color w:val="000000"/>
          <w:sz w:val="22"/>
          <w:szCs w:val="22"/>
          <w:shd w:val="clear" w:color="auto" w:fill="FFFFFF"/>
        </w:rPr>
        <w:t>.</w:t>
      </w:r>
      <w:r w:rsidR="0005338D">
        <w:rPr>
          <w:color w:val="000000"/>
          <w:sz w:val="22"/>
          <w:szCs w:val="22"/>
          <w:shd w:val="clear" w:color="auto" w:fill="FFFFFF"/>
        </w:rPr>
        <w:t xml:space="preserve">  It has also been clarified that the</w:t>
      </w:r>
      <w:r w:rsidR="00C45842">
        <w:rPr>
          <w:color w:val="000000"/>
          <w:sz w:val="22"/>
          <w:szCs w:val="22"/>
          <w:shd w:val="clear" w:color="auto" w:fill="FFFFFF"/>
        </w:rPr>
        <w:t xml:space="preserve"> initial</w:t>
      </w:r>
      <w:r w:rsidR="0005338D">
        <w:rPr>
          <w:color w:val="000000"/>
          <w:sz w:val="22"/>
          <w:szCs w:val="22"/>
          <w:shd w:val="clear" w:color="auto" w:fill="FFFFFF"/>
        </w:rPr>
        <w:t xml:space="preserve"> 10 ng/dscm emissions limit applies until the completion of D/F testing, at which time the new limit resulting from the D/F testing will </w:t>
      </w:r>
      <w:r w:rsidR="00C64354">
        <w:rPr>
          <w:color w:val="000000"/>
          <w:sz w:val="22"/>
          <w:szCs w:val="22"/>
          <w:shd w:val="clear" w:color="auto" w:fill="FFFFFF"/>
        </w:rPr>
        <w:t>be issued by the Department</w:t>
      </w:r>
      <w:r w:rsidR="0005338D">
        <w:rPr>
          <w:color w:val="000000"/>
          <w:sz w:val="22"/>
          <w:szCs w:val="22"/>
          <w:shd w:val="clear" w:color="auto" w:fill="FFFFFF"/>
        </w:rPr>
        <w:t xml:space="preserve">, regardless of the status of the facility’s </w:t>
      </w:r>
      <w:r w:rsidR="00591C30">
        <w:rPr>
          <w:color w:val="000000"/>
          <w:sz w:val="22"/>
          <w:szCs w:val="22"/>
          <w:shd w:val="clear" w:color="auto" w:fill="FFFFFF"/>
        </w:rPr>
        <w:t xml:space="preserve">application for a </w:t>
      </w:r>
      <w:r w:rsidR="0005338D">
        <w:rPr>
          <w:color w:val="000000"/>
          <w:sz w:val="22"/>
          <w:szCs w:val="22"/>
          <w:shd w:val="clear" w:color="auto" w:fill="FFFFFF"/>
        </w:rPr>
        <w:t>Title V operating permit.</w:t>
      </w:r>
      <w:r w:rsidR="00F13CA6">
        <w:rPr>
          <w:color w:val="000000"/>
          <w:sz w:val="22"/>
          <w:szCs w:val="22"/>
          <w:shd w:val="clear" w:color="auto" w:fill="FFFFFF"/>
        </w:rPr>
        <w:t xml:space="preserve">  After the completion of quarterly D/F testing, annual D/F compliance tests are still required.</w:t>
      </w:r>
    </w:p>
    <w:p w:rsidR="00193F10" w:rsidRPr="000B4B28" w:rsidRDefault="00193F10" w:rsidP="00E56EC9">
      <w:pPr>
        <w:pStyle w:val="ListParagraph"/>
        <w:numPr>
          <w:ilvl w:val="0"/>
          <w:numId w:val="12"/>
        </w:numPr>
        <w:spacing w:after="120"/>
        <w:ind w:left="720" w:hanging="720"/>
        <w:contextualSpacing w:val="0"/>
        <w:rPr>
          <w:b/>
          <w:caps/>
          <w:sz w:val="22"/>
        </w:rPr>
      </w:pPr>
      <w:r w:rsidRPr="000B4B28">
        <w:rPr>
          <w:b/>
          <w:caps/>
          <w:sz w:val="22"/>
        </w:rPr>
        <w:t>Preliminary Determination</w:t>
      </w:r>
    </w:p>
    <w:p w:rsidR="00067BE4" w:rsidRDefault="00193F10" w:rsidP="004D1D9F">
      <w:pPr>
        <w:widowControl w:val="0"/>
        <w:spacing w:after="120"/>
        <w:rPr>
          <w:sz w:val="22"/>
        </w:rPr>
      </w:pPr>
      <w:r>
        <w:rPr>
          <w:sz w:val="22"/>
        </w:rPr>
        <w:t xml:space="preserve">The Department makes a preliminary determination that the proposed project will comply with all applicable state and federal air pollution regulations as conditioned by the draft permit.  This determination is based on a technical review of the complete application, reasonable assurances provided by the applicant, and the conditions specified in the draft permit.  </w:t>
      </w:r>
      <w:r w:rsidRPr="002A28C2">
        <w:rPr>
          <w:sz w:val="22"/>
        </w:rPr>
        <w:t xml:space="preserve">No air quality modeling analysis is required because the project does not result in a significant increase in emissions.  </w:t>
      </w:r>
      <w:r w:rsidR="00011EAB">
        <w:rPr>
          <w:sz w:val="22"/>
        </w:rPr>
        <w:t>John Dawson</w:t>
      </w:r>
      <w:r>
        <w:rPr>
          <w:sz w:val="22"/>
        </w:rPr>
        <w:t xml:space="preserve"> is </w:t>
      </w:r>
      <w:r w:rsidRPr="007F0D8E">
        <w:rPr>
          <w:sz w:val="22"/>
        </w:rPr>
        <w:t>the project engineer</w:t>
      </w:r>
      <w:r>
        <w:rPr>
          <w:sz w:val="22"/>
        </w:rPr>
        <w:t xml:space="preserve"> responsible for reviewing the application and drafting the permit.  Additional details of this analysis ma</w:t>
      </w:r>
      <w:r w:rsidR="00011EAB">
        <w:rPr>
          <w:sz w:val="22"/>
        </w:rPr>
        <w:t>y be obtained by contacting him by telephone at 850-717-9085</w:t>
      </w:r>
      <w:r w:rsidR="00AF1A46">
        <w:rPr>
          <w:sz w:val="22"/>
        </w:rPr>
        <w:t xml:space="preserve">, </w:t>
      </w:r>
      <w:r w:rsidR="00011EAB">
        <w:rPr>
          <w:sz w:val="22"/>
        </w:rPr>
        <w:t xml:space="preserve">by e-mail at </w:t>
      </w:r>
      <w:hyperlink r:id="rId21" w:history="1">
        <w:r w:rsidR="00011EAB" w:rsidRPr="00B345FB">
          <w:rPr>
            <w:rStyle w:val="Hyperlink"/>
            <w:sz w:val="22"/>
          </w:rPr>
          <w:t>john.dawson@dep.state.fl.us</w:t>
        </w:r>
      </w:hyperlink>
      <w:r w:rsidR="00AF1A46">
        <w:rPr>
          <w:sz w:val="22"/>
        </w:rPr>
        <w:t>, or at</w:t>
      </w:r>
      <w:r>
        <w:rPr>
          <w:sz w:val="22"/>
        </w:rPr>
        <w:t xml:space="preserve"> the Department’s </w:t>
      </w:r>
      <w:r w:rsidR="009F6095">
        <w:rPr>
          <w:sz w:val="22"/>
        </w:rPr>
        <w:t>Office of Permitting and Compliance</w:t>
      </w:r>
      <w:r>
        <w:rPr>
          <w:sz w:val="22"/>
        </w:rPr>
        <w:t xml:space="preserve"> at Mail Station #5505, 2600 Blair Stone Road, Tallahassee, Florida  32399-2400.</w:t>
      </w:r>
    </w:p>
    <w:p w:rsidR="00193F10" w:rsidRPr="00067BE4" w:rsidRDefault="00193F10" w:rsidP="00067BE4">
      <w:pPr>
        <w:rPr>
          <w:sz w:val="22"/>
        </w:rPr>
      </w:pPr>
    </w:p>
    <w:sectPr w:rsidR="00193F10" w:rsidRPr="00067BE4" w:rsidSect="00901FD9">
      <w:headerReference w:type="default" r:id="rId22"/>
      <w:footerReference w:type="default" r:id="rId23"/>
      <w:headerReference w:type="first" r:id="rId24"/>
      <w:footerReference w:type="first" r:id="rId25"/>
      <w:pgSz w:w="12240" w:h="15840" w:code="1"/>
      <w:pgMar w:top="720" w:right="1008" w:bottom="576" w:left="1008" w:header="720" w:footer="432" w:gutter="0"/>
      <w:paperSrc w:first="15" w:other="15"/>
      <w:pgNumType w:start="2"/>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6044B" w:rsidRDefault="0066044B">
      <w:r>
        <w:separator/>
      </w:r>
    </w:p>
  </w:endnote>
  <w:endnote w:type="continuationSeparator" w:id="0">
    <w:p w:rsidR="0066044B" w:rsidRDefault="006604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Times New Roman Bold">
    <w:panose1 w:val="02020803070505020304"/>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Century Schoolbook">
    <w:panose1 w:val="0204060405050502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56EC9" w:rsidRPr="00DE629C" w:rsidRDefault="00E56EC9" w:rsidP="00E56EC9">
    <w:pPr>
      <w:pBdr>
        <w:top w:val="single" w:sz="6" w:space="1" w:color="auto"/>
      </w:pBdr>
      <w:tabs>
        <w:tab w:val="right" w:pos="10080"/>
      </w:tabs>
      <w:spacing w:before="240"/>
      <w:rPr>
        <w:rStyle w:val="PageNumber"/>
        <w:highlight w:val="yellow"/>
      </w:rPr>
    </w:pPr>
    <w:r w:rsidRPr="00DE629C">
      <w:t>Palm Beach Renewable Energy Park</w:t>
    </w:r>
    <w:r w:rsidRPr="00DE629C">
      <w:rPr>
        <w:rStyle w:val="PageNumber"/>
      </w:rPr>
      <w:tab/>
      <w:t>Project No. 0990234-032-AC</w:t>
    </w:r>
  </w:p>
  <w:p w:rsidR="00E56EC9" w:rsidRPr="00DE629C" w:rsidRDefault="00E56EC9" w:rsidP="00067BE4">
    <w:pPr>
      <w:pBdr>
        <w:top w:val="single" w:sz="6" w:space="1" w:color="auto"/>
      </w:pBdr>
      <w:tabs>
        <w:tab w:val="right" w:pos="10080"/>
      </w:tabs>
      <w:spacing w:after="120"/>
      <w:rPr>
        <w:rStyle w:val="PageNumber"/>
      </w:rPr>
    </w:pPr>
    <w:r w:rsidRPr="00DE629C">
      <w:t xml:space="preserve">Facility No. 2, Revision to Authorized </w:t>
    </w:r>
    <w:r w:rsidR="008234B2">
      <w:t>Wastes</w:t>
    </w:r>
    <w:r w:rsidRPr="00DE629C">
      <w:rPr>
        <w:rStyle w:val="PageNumber"/>
      </w:rPr>
      <w:tab/>
      <w:t>Minor Air Construction Permit</w:t>
    </w:r>
  </w:p>
  <w:p w:rsidR="00E56EC9" w:rsidRPr="00067BE4" w:rsidRDefault="00CE2D5F" w:rsidP="00067BE4">
    <w:pPr>
      <w:pStyle w:val="Footer"/>
      <w:jc w:val="center"/>
    </w:pPr>
    <w:sdt>
      <w:sdtPr>
        <w:id w:val="1810352529"/>
        <w:docPartObj>
          <w:docPartGallery w:val="Page Numbers (Bottom of Page)"/>
          <w:docPartUnique/>
        </w:docPartObj>
      </w:sdtPr>
      <w:sdtEndPr/>
      <w:sdtContent>
        <w:sdt>
          <w:sdtPr>
            <w:id w:val="607696328"/>
            <w:docPartObj>
              <w:docPartGallery w:val="Page Numbers (Top of Page)"/>
              <w:docPartUnique/>
            </w:docPartObj>
          </w:sdtPr>
          <w:sdtEndPr/>
          <w:sdtContent>
            <w:r w:rsidR="00E56EC9" w:rsidRPr="00067BE4">
              <w:t xml:space="preserve">Page </w:t>
            </w:r>
            <w:r w:rsidR="00E56EC9" w:rsidRPr="00067BE4">
              <w:rPr>
                <w:bCs/>
                <w:sz w:val="24"/>
                <w:szCs w:val="24"/>
              </w:rPr>
              <w:fldChar w:fldCharType="begin"/>
            </w:r>
            <w:r w:rsidR="00E56EC9" w:rsidRPr="00067BE4">
              <w:rPr>
                <w:bCs/>
              </w:rPr>
              <w:instrText xml:space="preserve"> PAGE </w:instrText>
            </w:r>
            <w:r w:rsidR="00E56EC9" w:rsidRPr="00067BE4">
              <w:rPr>
                <w:bCs/>
                <w:sz w:val="24"/>
                <w:szCs w:val="24"/>
              </w:rPr>
              <w:fldChar w:fldCharType="separate"/>
            </w:r>
            <w:r>
              <w:rPr>
                <w:bCs/>
                <w:noProof/>
              </w:rPr>
              <w:t>5</w:t>
            </w:r>
            <w:r w:rsidR="00E56EC9" w:rsidRPr="00067BE4">
              <w:rPr>
                <w:bCs/>
                <w:sz w:val="24"/>
                <w:szCs w:val="24"/>
              </w:rPr>
              <w:fldChar w:fldCharType="end"/>
            </w:r>
            <w:r w:rsidR="00E56EC9" w:rsidRPr="00067BE4">
              <w:t xml:space="preserve"> of </w:t>
            </w:r>
            <w:r w:rsidR="00E56EC9" w:rsidRPr="00067BE4">
              <w:rPr>
                <w:bCs/>
                <w:sz w:val="24"/>
                <w:szCs w:val="24"/>
              </w:rPr>
              <w:fldChar w:fldCharType="begin"/>
            </w:r>
            <w:r w:rsidR="00E56EC9" w:rsidRPr="00067BE4">
              <w:rPr>
                <w:bCs/>
              </w:rPr>
              <w:instrText xml:space="preserve"> NUMPAGES  </w:instrText>
            </w:r>
            <w:r w:rsidR="00E56EC9" w:rsidRPr="00067BE4">
              <w:rPr>
                <w:bCs/>
                <w:sz w:val="24"/>
                <w:szCs w:val="24"/>
              </w:rPr>
              <w:fldChar w:fldCharType="separate"/>
            </w:r>
            <w:r>
              <w:rPr>
                <w:bCs/>
                <w:noProof/>
              </w:rPr>
              <w:t>9</w:t>
            </w:r>
            <w:r w:rsidR="00E56EC9" w:rsidRPr="00067BE4">
              <w:rPr>
                <w:bCs/>
                <w:sz w:val="24"/>
                <w:szCs w:val="24"/>
              </w:rPr>
              <w:fldChar w:fldCharType="end"/>
            </w:r>
          </w:sdtContent>
        </w:sdt>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1B52" w:rsidRDefault="00461B5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6044B" w:rsidRDefault="0066044B">
      <w:r>
        <w:separator/>
      </w:r>
    </w:p>
  </w:footnote>
  <w:footnote w:type="continuationSeparator" w:id="0">
    <w:p w:rsidR="0066044B" w:rsidRDefault="0066044B">
      <w:r>
        <w:continuationSeparator/>
      </w:r>
    </w:p>
  </w:footnote>
  <w:footnote w:id="1">
    <w:p w:rsidR="00A707D8" w:rsidRPr="00DA15D2" w:rsidRDefault="00A707D8" w:rsidP="00A707D8">
      <w:pPr>
        <w:pStyle w:val="FootnoteText"/>
        <w:tabs>
          <w:tab w:val="left" w:pos="360"/>
        </w:tabs>
        <w:ind w:left="360" w:hanging="360"/>
      </w:pPr>
      <w:r w:rsidRPr="00DA15D2">
        <w:rPr>
          <w:rStyle w:val="FootnoteReference"/>
        </w:rPr>
        <w:footnoteRef/>
      </w:r>
      <w:r w:rsidRPr="00DA15D2">
        <w:t xml:space="preserve"> </w:t>
      </w:r>
      <w:r>
        <w:tab/>
      </w:r>
      <w:r w:rsidRPr="00DA15D2">
        <w:rPr>
          <w:rFonts w:eastAsia="Calibri"/>
        </w:rPr>
        <w:t xml:space="preserve">In making this calculation, the </w:t>
      </w:r>
      <w:r w:rsidRPr="00DA15D2">
        <w:t>values listed in 40 CFR 98, Subpart A, Table A-1 are used to weight emissions by their respective Global Warming Potential (GWP).  For example, the current GWP factors for four of the GHGs are:  CO</w:t>
      </w:r>
      <w:r w:rsidRPr="00DA15D2">
        <w:rPr>
          <w:vertAlign w:val="subscript"/>
        </w:rPr>
        <w:t>2</w:t>
      </w:r>
      <w:r w:rsidRPr="00DA15D2">
        <w:t xml:space="preserve"> = 1; CH</w:t>
      </w:r>
      <w:r w:rsidRPr="00DA15D2">
        <w:rPr>
          <w:vertAlign w:val="subscript"/>
        </w:rPr>
        <w:t>4</w:t>
      </w:r>
      <w:r w:rsidRPr="00DA15D2">
        <w:t xml:space="preserve"> = 25; N</w:t>
      </w:r>
      <w:r w:rsidRPr="00DA15D2">
        <w:rPr>
          <w:vertAlign w:val="subscript"/>
        </w:rPr>
        <w:t>2</w:t>
      </w:r>
      <w:r w:rsidRPr="00DA15D2">
        <w:t>O = 298 and SF</w:t>
      </w:r>
      <w:r w:rsidRPr="00DA15D2">
        <w:rPr>
          <w:vertAlign w:val="subscript"/>
        </w:rPr>
        <w:t>6</w:t>
      </w:r>
      <w:r w:rsidRPr="00DA15D2">
        <w:t xml:space="preserve"> = 22,800.  </w:t>
      </w:r>
    </w:p>
  </w:footnote>
  <w:footnote w:id="2">
    <w:p w:rsidR="00A707D8" w:rsidRPr="00FF36B4" w:rsidRDefault="00A707D8" w:rsidP="00A707D8">
      <w:pPr>
        <w:pStyle w:val="FootnoteText"/>
        <w:tabs>
          <w:tab w:val="left" w:pos="360"/>
        </w:tabs>
        <w:ind w:left="360" w:hanging="360"/>
        <w:rPr>
          <w:rFonts w:eastAsia="Calibri"/>
        </w:rPr>
      </w:pPr>
      <w:r w:rsidRPr="00FF36B4">
        <w:rPr>
          <w:rStyle w:val="FootnoteReference"/>
        </w:rPr>
        <w:footnoteRef/>
      </w:r>
      <w:r w:rsidRPr="00FF36B4">
        <w:t xml:space="preserve"> </w:t>
      </w:r>
      <w:r w:rsidRPr="00FF36B4">
        <w:tab/>
      </w:r>
      <w:r w:rsidRPr="00FF36B4">
        <w:rPr>
          <w:rFonts w:eastAsia="Calibri"/>
        </w:rPr>
        <w:t xml:space="preserve">This procedure was held to be invalid at the federal level due to a </w:t>
      </w:r>
      <w:r>
        <w:rPr>
          <w:rFonts w:eastAsia="Calibri"/>
        </w:rPr>
        <w:t xml:space="preserve">U.S. </w:t>
      </w:r>
      <w:r w:rsidRPr="00FF36B4">
        <w:rPr>
          <w:rFonts w:eastAsia="Calibri"/>
        </w:rPr>
        <w:t>Supreme Court opinion dated June</w:t>
      </w:r>
      <w:r>
        <w:rPr>
          <w:rFonts w:eastAsia="Calibri"/>
        </w:rPr>
        <w:t xml:space="preserve"> </w:t>
      </w:r>
      <w:r w:rsidRPr="00FF36B4">
        <w:rPr>
          <w:rFonts w:eastAsia="Calibri"/>
        </w:rPr>
        <w:t xml:space="preserve">23, 2014.  </w:t>
      </w:r>
      <w:r>
        <w:rPr>
          <w:rFonts w:eastAsia="Calibri"/>
        </w:rPr>
        <w:br/>
      </w:r>
      <w:hyperlink r:id="rId1" w:history="1">
        <w:r w:rsidR="00285FB2">
          <w:rPr>
            <w:rStyle w:val="Hyperlink"/>
            <w:rFonts w:cs="Century Schoolbook"/>
          </w:rPr>
          <w:t>Link to S</w:t>
        </w:r>
        <w:r w:rsidRPr="00FF36B4">
          <w:rPr>
            <w:rStyle w:val="Hyperlink"/>
            <w:rFonts w:cs="Century Schoolbook"/>
          </w:rPr>
          <w:t>upreme Court Opinion</w:t>
        </w:r>
      </w:hyperlink>
      <w:r>
        <w:t xml:space="preserve">  </w:t>
      </w:r>
      <w:r w:rsidRPr="00FF36B4">
        <w:rPr>
          <w:rFonts w:eastAsia="Calibri"/>
        </w:rPr>
        <w:t xml:space="preserve">The Department is reviewing the </w:t>
      </w:r>
      <w:r>
        <w:rPr>
          <w:rFonts w:eastAsia="Calibri"/>
        </w:rPr>
        <w:t xml:space="preserve">effects </w:t>
      </w:r>
      <w:r w:rsidRPr="00FF36B4">
        <w:rPr>
          <w:rFonts w:eastAsia="Calibri"/>
        </w:rPr>
        <w:t xml:space="preserve">of the decision on its own rules.  </w:t>
      </w:r>
      <w:r w:rsidR="00285FB2">
        <w:rPr>
          <w:rFonts w:eastAsia="Calibri"/>
        </w:rPr>
        <w:t xml:space="preserve">EPA issued guidance regarding implementation of the decision on July 24, 2014.  </w:t>
      </w:r>
      <w:hyperlink r:id="rId2" w:history="1">
        <w:r w:rsidR="00285FB2">
          <w:rPr>
            <w:rStyle w:val="Hyperlink"/>
            <w:rFonts w:eastAsia="Calibri"/>
          </w:rPr>
          <w:t>Link to EPA Guidance</w:t>
        </w:r>
      </w:hyperlink>
      <w:r w:rsidR="00285FB2">
        <w:rPr>
          <w:rFonts w:eastAsia="Calibri"/>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1B52" w:rsidRDefault="00461B52">
    <w:pPr>
      <w:pStyle w:val="Header"/>
      <w:pBdr>
        <w:bottom w:val="single" w:sz="6" w:space="1" w:color="auto"/>
      </w:pBdr>
      <w:spacing w:after="240"/>
      <w:jc w:val="center"/>
      <w:rPr>
        <w:b/>
        <w:caps/>
        <w:sz w:val="22"/>
        <w:u w:val="single"/>
      </w:rPr>
    </w:pPr>
    <w:r>
      <w:rPr>
        <w:b/>
        <w:caps/>
        <w:sz w:val="22"/>
      </w:rPr>
      <w:t>TECHNICAL EVALUATION and PRELIMINARY DETERMINATION</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1B52" w:rsidRDefault="00461B5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4D3236"/>
    <w:multiLevelType w:val="hybridMultilevel"/>
    <w:tmpl w:val="8EF4BF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08A6AE7"/>
    <w:multiLevelType w:val="multilevel"/>
    <w:tmpl w:val="CCC2BA5A"/>
    <w:lvl w:ilvl="0">
      <w:start w:val="1"/>
      <w:numFmt w:val="decimal"/>
      <w:lvlText w:val="%1."/>
      <w:lvlJc w:val="left"/>
      <w:pPr>
        <w:ind w:left="119" w:hanging="202"/>
      </w:pPr>
      <w:rPr>
        <w:rFonts w:hint="default"/>
        <w:b w:val="0"/>
        <w:bCs w:val="0"/>
        <w:i w:val="0"/>
        <w:spacing w:val="1"/>
        <w:w w:val="99"/>
        <w:sz w:val="22"/>
        <w:szCs w:val="20"/>
      </w:rPr>
    </w:lvl>
    <w:lvl w:ilvl="1">
      <w:start w:val="1"/>
      <w:numFmt w:val="lowerLetter"/>
      <w:lvlText w:val="%2."/>
      <w:lvlJc w:val="left"/>
      <w:pPr>
        <w:ind w:left="119" w:hanging="200"/>
      </w:pPr>
      <w:rPr>
        <w:rFonts w:ascii="Times New Roman" w:hAnsi="Times New Roman" w:cs="Times New Roman"/>
        <w:b w:val="0"/>
        <w:bCs w:val="0"/>
        <w:w w:val="99"/>
        <w:sz w:val="20"/>
        <w:szCs w:val="20"/>
      </w:rPr>
    </w:lvl>
    <w:lvl w:ilvl="2">
      <w:numFmt w:val="bullet"/>
      <w:lvlText w:val="•"/>
      <w:lvlJc w:val="left"/>
      <w:pPr>
        <w:ind w:left="1173" w:hanging="200"/>
      </w:pPr>
    </w:lvl>
    <w:lvl w:ilvl="3">
      <w:numFmt w:val="bullet"/>
      <w:lvlText w:val="•"/>
      <w:lvlJc w:val="left"/>
      <w:pPr>
        <w:ind w:left="2226" w:hanging="200"/>
      </w:pPr>
    </w:lvl>
    <w:lvl w:ilvl="4">
      <w:numFmt w:val="bullet"/>
      <w:lvlText w:val="•"/>
      <w:lvlJc w:val="left"/>
      <w:pPr>
        <w:ind w:left="3279" w:hanging="200"/>
      </w:pPr>
    </w:lvl>
    <w:lvl w:ilvl="5">
      <w:numFmt w:val="bullet"/>
      <w:lvlText w:val="•"/>
      <w:lvlJc w:val="left"/>
      <w:pPr>
        <w:ind w:left="4333" w:hanging="200"/>
      </w:pPr>
    </w:lvl>
    <w:lvl w:ilvl="6">
      <w:numFmt w:val="bullet"/>
      <w:lvlText w:val="•"/>
      <w:lvlJc w:val="left"/>
      <w:pPr>
        <w:ind w:left="5386" w:hanging="200"/>
      </w:pPr>
    </w:lvl>
    <w:lvl w:ilvl="7">
      <w:numFmt w:val="bullet"/>
      <w:lvlText w:val="•"/>
      <w:lvlJc w:val="left"/>
      <w:pPr>
        <w:ind w:left="6439" w:hanging="200"/>
      </w:pPr>
    </w:lvl>
    <w:lvl w:ilvl="8">
      <w:numFmt w:val="bullet"/>
      <w:lvlText w:val="•"/>
      <w:lvlJc w:val="left"/>
      <w:pPr>
        <w:ind w:left="7493" w:hanging="200"/>
      </w:pPr>
    </w:lvl>
  </w:abstractNum>
  <w:abstractNum w:abstractNumId="2">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32191DFA"/>
    <w:multiLevelType w:val="hybridMultilevel"/>
    <w:tmpl w:val="74962264"/>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39AE1A46"/>
    <w:multiLevelType w:val="hybridMultilevel"/>
    <w:tmpl w:val="6622BA06"/>
    <w:lvl w:ilvl="0" w:tplc="C4523854">
      <w:start w:val="1"/>
      <w:numFmt w:val="lowerLetter"/>
      <w:lvlText w:val="(%1)"/>
      <w:lvlJc w:val="left"/>
      <w:pPr>
        <w:ind w:left="1693" w:hanging="360"/>
      </w:pPr>
      <w:rPr>
        <w:rFonts w:hint="default"/>
      </w:rPr>
    </w:lvl>
    <w:lvl w:ilvl="1" w:tplc="04090019" w:tentative="1">
      <w:start w:val="1"/>
      <w:numFmt w:val="lowerLetter"/>
      <w:lvlText w:val="%2."/>
      <w:lvlJc w:val="left"/>
      <w:pPr>
        <w:ind w:left="2413" w:hanging="360"/>
      </w:pPr>
    </w:lvl>
    <w:lvl w:ilvl="2" w:tplc="0409001B" w:tentative="1">
      <w:start w:val="1"/>
      <w:numFmt w:val="lowerRoman"/>
      <w:lvlText w:val="%3."/>
      <w:lvlJc w:val="right"/>
      <w:pPr>
        <w:ind w:left="3133" w:hanging="180"/>
      </w:pPr>
    </w:lvl>
    <w:lvl w:ilvl="3" w:tplc="0409000F" w:tentative="1">
      <w:start w:val="1"/>
      <w:numFmt w:val="decimal"/>
      <w:lvlText w:val="%4."/>
      <w:lvlJc w:val="left"/>
      <w:pPr>
        <w:ind w:left="3853" w:hanging="360"/>
      </w:pPr>
    </w:lvl>
    <w:lvl w:ilvl="4" w:tplc="04090019" w:tentative="1">
      <w:start w:val="1"/>
      <w:numFmt w:val="lowerLetter"/>
      <w:lvlText w:val="%5."/>
      <w:lvlJc w:val="left"/>
      <w:pPr>
        <w:ind w:left="4573" w:hanging="360"/>
      </w:pPr>
    </w:lvl>
    <w:lvl w:ilvl="5" w:tplc="0409001B" w:tentative="1">
      <w:start w:val="1"/>
      <w:numFmt w:val="lowerRoman"/>
      <w:lvlText w:val="%6."/>
      <w:lvlJc w:val="right"/>
      <w:pPr>
        <w:ind w:left="5293" w:hanging="180"/>
      </w:pPr>
    </w:lvl>
    <w:lvl w:ilvl="6" w:tplc="0409000F" w:tentative="1">
      <w:start w:val="1"/>
      <w:numFmt w:val="decimal"/>
      <w:lvlText w:val="%7."/>
      <w:lvlJc w:val="left"/>
      <w:pPr>
        <w:ind w:left="6013" w:hanging="360"/>
      </w:pPr>
    </w:lvl>
    <w:lvl w:ilvl="7" w:tplc="04090019" w:tentative="1">
      <w:start w:val="1"/>
      <w:numFmt w:val="lowerLetter"/>
      <w:lvlText w:val="%8."/>
      <w:lvlJc w:val="left"/>
      <w:pPr>
        <w:ind w:left="6733" w:hanging="360"/>
      </w:pPr>
    </w:lvl>
    <w:lvl w:ilvl="8" w:tplc="0409001B" w:tentative="1">
      <w:start w:val="1"/>
      <w:numFmt w:val="lowerRoman"/>
      <w:lvlText w:val="%9."/>
      <w:lvlJc w:val="right"/>
      <w:pPr>
        <w:ind w:left="7453" w:hanging="180"/>
      </w:pPr>
    </w:lvl>
  </w:abstractNum>
  <w:abstractNum w:abstractNumId="5">
    <w:nsid w:val="3E6E4C5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
    <w:nsid w:val="411C16EC"/>
    <w:multiLevelType w:val="hybridMultilevel"/>
    <w:tmpl w:val="4798F076"/>
    <w:lvl w:ilvl="0" w:tplc="766A4D7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4AF613E4"/>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74035BF5"/>
    <w:multiLevelType w:val="hybridMultilevel"/>
    <w:tmpl w:val="6C9ACD4C"/>
    <w:lvl w:ilvl="0" w:tplc="71AEA8C0">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5660E05"/>
    <w:multiLevelType w:val="multilevel"/>
    <w:tmpl w:val="BCC6929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790B5C8F"/>
    <w:multiLevelType w:val="hybridMultilevel"/>
    <w:tmpl w:val="53901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B6D6983"/>
    <w:multiLevelType w:val="hybridMultilevel"/>
    <w:tmpl w:val="34CA9646"/>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7DC1319C"/>
    <w:multiLevelType w:val="hybridMultilevel"/>
    <w:tmpl w:val="06A41748"/>
    <w:lvl w:ilvl="0" w:tplc="801C2268">
      <w:start w:val="1"/>
      <w:numFmt w:val="decimal"/>
      <w:lvlText w:val="%1."/>
      <w:lvlJc w:val="left"/>
      <w:pPr>
        <w:tabs>
          <w:tab w:val="num" w:pos="1080"/>
        </w:tabs>
        <w:ind w:left="1080" w:hanging="360"/>
      </w:pPr>
      <w:rPr>
        <w:sz w:val="16"/>
        <w:szCs w:val="16"/>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5"/>
  </w:num>
  <w:num w:numId="2">
    <w:abstractNumId w:val="11"/>
  </w:num>
  <w:num w:numId="3">
    <w:abstractNumId w:val="2"/>
  </w:num>
  <w:num w:numId="4">
    <w:abstractNumId w:val="3"/>
  </w:num>
  <w:num w:numId="5">
    <w:abstractNumId w:val="6"/>
  </w:num>
  <w:num w:numId="6">
    <w:abstractNumId w:val="8"/>
  </w:num>
  <w:num w:numId="7">
    <w:abstractNumId w:val="7"/>
  </w:num>
  <w:num w:numId="8">
    <w:abstractNumId w:val="10"/>
  </w:num>
  <w:num w:numId="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 w:numId="11">
    <w:abstractNumId w:val="1"/>
  </w:num>
  <w:num w:numId="12">
    <w:abstractNumId w:val="9"/>
  </w:num>
  <w:num w:numId="13">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hdrShapeDefaults>
    <o:shapedefaults v:ext="edit" spidmax="460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3F10"/>
    <w:rsid w:val="00011EAB"/>
    <w:rsid w:val="00025BCB"/>
    <w:rsid w:val="0005338D"/>
    <w:rsid w:val="00060D5C"/>
    <w:rsid w:val="00067BE4"/>
    <w:rsid w:val="00093BAD"/>
    <w:rsid w:val="000B3948"/>
    <w:rsid w:val="000B4B28"/>
    <w:rsid w:val="000C44A7"/>
    <w:rsid w:val="000C5143"/>
    <w:rsid w:val="000E42D3"/>
    <w:rsid w:val="000F40D2"/>
    <w:rsid w:val="00111453"/>
    <w:rsid w:val="00135223"/>
    <w:rsid w:val="00140CD4"/>
    <w:rsid w:val="001771DC"/>
    <w:rsid w:val="00193F10"/>
    <w:rsid w:val="00194AA6"/>
    <w:rsid w:val="001A56C2"/>
    <w:rsid w:val="001C4E37"/>
    <w:rsid w:val="001D1649"/>
    <w:rsid w:val="001D487F"/>
    <w:rsid w:val="001E2CD6"/>
    <w:rsid w:val="00201860"/>
    <w:rsid w:val="002146EA"/>
    <w:rsid w:val="002225DD"/>
    <w:rsid w:val="00285FB2"/>
    <w:rsid w:val="002A28C2"/>
    <w:rsid w:val="002B7726"/>
    <w:rsid w:val="002F05D5"/>
    <w:rsid w:val="002F0E6E"/>
    <w:rsid w:val="002F3527"/>
    <w:rsid w:val="002F7A57"/>
    <w:rsid w:val="00302267"/>
    <w:rsid w:val="00312095"/>
    <w:rsid w:val="003220BF"/>
    <w:rsid w:val="0033363A"/>
    <w:rsid w:val="00346552"/>
    <w:rsid w:val="00362109"/>
    <w:rsid w:val="00362B27"/>
    <w:rsid w:val="00374C3E"/>
    <w:rsid w:val="003858DE"/>
    <w:rsid w:val="0039482F"/>
    <w:rsid w:val="003A2979"/>
    <w:rsid w:val="003A3C29"/>
    <w:rsid w:val="003B1E0A"/>
    <w:rsid w:val="003C2EC1"/>
    <w:rsid w:val="003C785F"/>
    <w:rsid w:val="003E1FB8"/>
    <w:rsid w:val="003E683A"/>
    <w:rsid w:val="003F1AFB"/>
    <w:rsid w:val="0040283C"/>
    <w:rsid w:val="0043123B"/>
    <w:rsid w:val="004413B6"/>
    <w:rsid w:val="004414F2"/>
    <w:rsid w:val="00446FE7"/>
    <w:rsid w:val="00461B52"/>
    <w:rsid w:val="004820C4"/>
    <w:rsid w:val="00494290"/>
    <w:rsid w:val="004B5185"/>
    <w:rsid w:val="004C0984"/>
    <w:rsid w:val="004D07D0"/>
    <w:rsid w:val="004D1D9F"/>
    <w:rsid w:val="004E48C8"/>
    <w:rsid w:val="00506589"/>
    <w:rsid w:val="00591C30"/>
    <w:rsid w:val="005E36E4"/>
    <w:rsid w:val="006060BC"/>
    <w:rsid w:val="00610D85"/>
    <w:rsid w:val="006141F0"/>
    <w:rsid w:val="00617209"/>
    <w:rsid w:val="00634F21"/>
    <w:rsid w:val="0064448E"/>
    <w:rsid w:val="0065214A"/>
    <w:rsid w:val="00653684"/>
    <w:rsid w:val="0066044B"/>
    <w:rsid w:val="006637B8"/>
    <w:rsid w:val="00684184"/>
    <w:rsid w:val="00686486"/>
    <w:rsid w:val="006B1E2F"/>
    <w:rsid w:val="006B2CC9"/>
    <w:rsid w:val="006B6EFE"/>
    <w:rsid w:val="00701FEF"/>
    <w:rsid w:val="00741F1A"/>
    <w:rsid w:val="00762E18"/>
    <w:rsid w:val="00773F81"/>
    <w:rsid w:val="007747AA"/>
    <w:rsid w:val="00782ABD"/>
    <w:rsid w:val="00786837"/>
    <w:rsid w:val="007E5CA3"/>
    <w:rsid w:val="007F0D8E"/>
    <w:rsid w:val="007F7B7E"/>
    <w:rsid w:val="00817783"/>
    <w:rsid w:val="008234B2"/>
    <w:rsid w:val="00835018"/>
    <w:rsid w:val="00850561"/>
    <w:rsid w:val="008560BD"/>
    <w:rsid w:val="008603FF"/>
    <w:rsid w:val="00861123"/>
    <w:rsid w:val="008673D3"/>
    <w:rsid w:val="0087009A"/>
    <w:rsid w:val="00877FCD"/>
    <w:rsid w:val="00881B5C"/>
    <w:rsid w:val="00901FD9"/>
    <w:rsid w:val="00915F63"/>
    <w:rsid w:val="0093238E"/>
    <w:rsid w:val="00955781"/>
    <w:rsid w:val="009B32D2"/>
    <w:rsid w:val="009F6095"/>
    <w:rsid w:val="00A42E4E"/>
    <w:rsid w:val="00A47920"/>
    <w:rsid w:val="00A707D8"/>
    <w:rsid w:val="00A80480"/>
    <w:rsid w:val="00A812F5"/>
    <w:rsid w:val="00A815E0"/>
    <w:rsid w:val="00A938D5"/>
    <w:rsid w:val="00A948F3"/>
    <w:rsid w:val="00AC273E"/>
    <w:rsid w:val="00AF1A46"/>
    <w:rsid w:val="00AF1F1C"/>
    <w:rsid w:val="00B103DE"/>
    <w:rsid w:val="00B2074B"/>
    <w:rsid w:val="00B2315F"/>
    <w:rsid w:val="00B2762F"/>
    <w:rsid w:val="00B43D3D"/>
    <w:rsid w:val="00B7612C"/>
    <w:rsid w:val="00BB1087"/>
    <w:rsid w:val="00BB36AA"/>
    <w:rsid w:val="00BB7D3F"/>
    <w:rsid w:val="00BC5729"/>
    <w:rsid w:val="00BE0F0E"/>
    <w:rsid w:val="00BF21F0"/>
    <w:rsid w:val="00C02BEB"/>
    <w:rsid w:val="00C03584"/>
    <w:rsid w:val="00C06C6D"/>
    <w:rsid w:val="00C34CCD"/>
    <w:rsid w:val="00C45842"/>
    <w:rsid w:val="00C502D1"/>
    <w:rsid w:val="00C64354"/>
    <w:rsid w:val="00C66E7D"/>
    <w:rsid w:val="00C7510F"/>
    <w:rsid w:val="00C96AC0"/>
    <w:rsid w:val="00CE2D5F"/>
    <w:rsid w:val="00D00878"/>
    <w:rsid w:val="00D0169D"/>
    <w:rsid w:val="00D07B72"/>
    <w:rsid w:val="00D1773B"/>
    <w:rsid w:val="00D24F36"/>
    <w:rsid w:val="00D262B1"/>
    <w:rsid w:val="00D4398E"/>
    <w:rsid w:val="00D47F9E"/>
    <w:rsid w:val="00D51D78"/>
    <w:rsid w:val="00D53A1E"/>
    <w:rsid w:val="00D56DF0"/>
    <w:rsid w:val="00D727AB"/>
    <w:rsid w:val="00DA39AC"/>
    <w:rsid w:val="00DA4D8D"/>
    <w:rsid w:val="00DB4E11"/>
    <w:rsid w:val="00DE629C"/>
    <w:rsid w:val="00DE79E6"/>
    <w:rsid w:val="00DF1C54"/>
    <w:rsid w:val="00DF1CE5"/>
    <w:rsid w:val="00E273DA"/>
    <w:rsid w:val="00E42819"/>
    <w:rsid w:val="00E50051"/>
    <w:rsid w:val="00E56EC9"/>
    <w:rsid w:val="00E607EE"/>
    <w:rsid w:val="00E84B3B"/>
    <w:rsid w:val="00E8647C"/>
    <w:rsid w:val="00E87561"/>
    <w:rsid w:val="00EB09B8"/>
    <w:rsid w:val="00EB17CF"/>
    <w:rsid w:val="00EC344E"/>
    <w:rsid w:val="00EC78E1"/>
    <w:rsid w:val="00EE6112"/>
    <w:rsid w:val="00EF1BC9"/>
    <w:rsid w:val="00EF4AA2"/>
    <w:rsid w:val="00F0497C"/>
    <w:rsid w:val="00F13CA6"/>
    <w:rsid w:val="00F15C32"/>
    <w:rsid w:val="00F315F8"/>
    <w:rsid w:val="00F33275"/>
    <w:rsid w:val="00F3533A"/>
    <w:rsid w:val="00F35406"/>
    <w:rsid w:val="00F71458"/>
    <w:rsid w:val="00F7188C"/>
    <w:rsid w:val="00F77D22"/>
    <w:rsid w:val="00FA3E96"/>
    <w:rsid w:val="00FC0688"/>
    <w:rsid w:val="00FC3D22"/>
    <w:rsid w:val="00FC79F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ostalCode"/>
  <w:smartTagType w:namespaceuri="urn:schemas-microsoft-com:office:smarttags" w:name="State"/>
  <w:smartTagType w:namespaceuri="urn:schemas-microsoft-com:office:smarttags" w:name="City"/>
  <w:shapeDefaults>
    <o:shapedefaults v:ext="edit" spidmax="46081"/>
    <o:shapelayout v:ext="edit">
      <o:idmap v:ext="edit" data="1"/>
    </o:shapelayout>
  </w:shapeDefaults>
  <w:decimalSymbol w:val="."/>
  <w:listSeparator w:val=","/>
  <w15:docId w15:val="{5E26AF02-895D-420E-A0CD-E7D531DBF5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35406"/>
  </w:style>
  <w:style w:type="paragraph" w:styleId="Heading1">
    <w:name w:val="heading 1"/>
    <w:basedOn w:val="Normal"/>
    <w:next w:val="Normal"/>
    <w:qFormat/>
    <w:rsid w:val="00F35406"/>
    <w:pPr>
      <w:keepNext/>
      <w:spacing w:after="120"/>
      <w:ind w:left="634"/>
      <w:outlineLvl w:val="0"/>
    </w:pPr>
    <w:rPr>
      <w:sz w:val="28"/>
    </w:rPr>
  </w:style>
  <w:style w:type="paragraph" w:styleId="Heading2">
    <w:name w:val="heading 2"/>
    <w:basedOn w:val="Normal"/>
    <w:next w:val="Normal"/>
    <w:qFormat/>
    <w:rsid w:val="00F35406"/>
    <w:pPr>
      <w:keepNext/>
      <w:ind w:left="630"/>
      <w:outlineLvl w:val="1"/>
    </w:pPr>
    <w:rPr>
      <w:i/>
      <w:sz w:val="23"/>
    </w:rPr>
  </w:style>
  <w:style w:type="paragraph" w:styleId="Heading3">
    <w:name w:val="heading 3"/>
    <w:basedOn w:val="Normal"/>
    <w:next w:val="Normal"/>
    <w:qFormat/>
    <w:rsid w:val="00F35406"/>
    <w:pPr>
      <w:keepNext/>
      <w:jc w:val="center"/>
      <w:outlineLvl w:val="2"/>
    </w:pPr>
    <w:rPr>
      <w:sz w:val="28"/>
    </w:rPr>
  </w:style>
  <w:style w:type="paragraph" w:styleId="Heading4">
    <w:name w:val="heading 4"/>
    <w:basedOn w:val="Normal"/>
    <w:next w:val="Normal"/>
    <w:qFormat/>
    <w:rsid w:val="00F35406"/>
    <w:pPr>
      <w:keepNext/>
      <w:jc w:val="center"/>
      <w:outlineLvl w:val="3"/>
    </w:pPr>
    <w:rPr>
      <w:b/>
      <w:sz w:val="22"/>
    </w:rPr>
  </w:style>
  <w:style w:type="paragraph" w:styleId="Heading5">
    <w:name w:val="heading 5"/>
    <w:basedOn w:val="Normal"/>
    <w:next w:val="Normal"/>
    <w:qFormat/>
    <w:rsid w:val="00F35406"/>
    <w:pPr>
      <w:keepNext/>
      <w:spacing w:after="120"/>
      <w:ind w:left="720"/>
      <w:outlineLvl w:val="4"/>
    </w:pPr>
    <w:rPr>
      <w:b/>
      <w:sz w:val="22"/>
    </w:rPr>
  </w:style>
  <w:style w:type="paragraph" w:styleId="Heading6">
    <w:name w:val="heading 6"/>
    <w:basedOn w:val="Normal"/>
    <w:next w:val="Normal"/>
    <w:qFormat/>
    <w:rsid w:val="00F35406"/>
    <w:pPr>
      <w:keepNext/>
      <w:jc w:val="center"/>
      <w:outlineLvl w:val="5"/>
    </w:pPr>
    <w:rPr>
      <w:b/>
      <w:sz w:val="24"/>
    </w:rPr>
  </w:style>
  <w:style w:type="paragraph" w:styleId="Heading7">
    <w:name w:val="heading 7"/>
    <w:basedOn w:val="Normal"/>
    <w:next w:val="Normal"/>
    <w:qFormat/>
    <w:rsid w:val="00F35406"/>
    <w:pPr>
      <w:keepNext/>
      <w:tabs>
        <w:tab w:val="right" w:pos="9648"/>
      </w:tabs>
      <w:spacing w:after="120" w:line="240" w:lineRule="exact"/>
      <w:ind w:left="630"/>
      <w:outlineLvl w:val="6"/>
    </w:pPr>
    <w:rPr>
      <w:b/>
      <w:sz w:val="22"/>
    </w:rPr>
  </w:style>
  <w:style w:type="paragraph" w:styleId="Heading8">
    <w:name w:val="heading 8"/>
    <w:basedOn w:val="Normal"/>
    <w:next w:val="Normal"/>
    <w:qFormat/>
    <w:rsid w:val="00F35406"/>
    <w:pPr>
      <w:keepNext/>
      <w:spacing w:after="120"/>
      <w:outlineLvl w:val="7"/>
    </w:pPr>
    <w:rPr>
      <w:b/>
      <w:caps/>
      <w:sz w:val="22"/>
    </w:rPr>
  </w:style>
  <w:style w:type="paragraph" w:styleId="Heading9">
    <w:name w:val="heading 9"/>
    <w:basedOn w:val="Normal"/>
    <w:next w:val="Normal"/>
    <w:qFormat/>
    <w:rsid w:val="00F35406"/>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F35406"/>
    <w:rPr>
      <w:vertAlign w:val="superscript"/>
    </w:rPr>
  </w:style>
  <w:style w:type="paragraph" w:styleId="Header">
    <w:name w:val="header"/>
    <w:basedOn w:val="Normal"/>
    <w:rsid w:val="00F35406"/>
    <w:pPr>
      <w:tabs>
        <w:tab w:val="center" w:pos="4320"/>
        <w:tab w:val="right" w:pos="8640"/>
      </w:tabs>
    </w:pPr>
  </w:style>
  <w:style w:type="character" w:styleId="PageNumber">
    <w:name w:val="page number"/>
    <w:basedOn w:val="DefaultParagraphFont"/>
    <w:rsid w:val="00F35406"/>
  </w:style>
  <w:style w:type="paragraph" w:styleId="Footer">
    <w:name w:val="footer"/>
    <w:basedOn w:val="Normal"/>
    <w:link w:val="FooterChar"/>
    <w:uiPriority w:val="99"/>
    <w:rsid w:val="00F35406"/>
    <w:pPr>
      <w:tabs>
        <w:tab w:val="center" w:pos="4320"/>
        <w:tab w:val="right" w:pos="8640"/>
      </w:tabs>
    </w:pPr>
  </w:style>
  <w:style w:type="paragraph" w:styleId="BodyTextIndent">
    <w:name w:val="Body Text Indent"/>
    <w:basedOn w:val="Normal"/>
    <w:rsid w:val="00F35406"/>
    <w:pPr>
      <w:spacing w:after="120"/>
      <w:ind w:left="634"/>
    </w:pPr>
    <w:rPr>
      <w:sz w:val="24"/>
    </w:rPr>
  </w:style>
  <w:style w:type="paragraph" w:styleId="BodyTextIndent2">
    <w:name w:val="Body Text Indent 2"/>
    <w:basedOn w:val="Normal"/>
    <w:rsid w:val="00F35406"/>
    <w:pPr>
      <w:tabs>
        <w:tab w:val="left" w:pos="630"/>
      </w:tabs>
      <w:spacing w:after="120"/>
      <w:ind w:left="630"/>
    </w:pPr>
    <w:rPr>
      <w:sz w:val="24"/>
    </w:rPr>
  </w:style>
  <w:style w:type="paragraph" w:styleId="BodyTextIndent3">
    <w:name w:val="Body Text Indent 3"/>
    <w:basedOn w:val="Normal"/>
    <w:rsid w:val="00F35406"/>
    <w:pPr>
      <w:spacing w:before="240" w:after="120"/>
      <w:ind w:left="634"/>
      <w:jc w:val="center"/>
    </w:pPr>
    <w:rPr>
      <w:caps/>
      <w:sz w:val="24"/>
    </w:rPr>
  </w:style>
  <w:style w:type="paragraph" w:styleId="BodyText2">
    <w:name w:val="Body Text 2"/>
    <w:basedOn w:val="Normal"/>
    <w:rsid w:val="00F35406"/>
    <w:pPr>
      <w:numPr>
        <w:ilvl w:val="12"/>
      </w:numPr>
      <w:spacing w:after="120"/>
      <w:jc w:val="both"/>
    </w:pPr>
    <w:rPr>
      <w:sz w:val="22"/>
    </w:rPr>
  </w:style>
  <w:style w:type="paragraph" w:styleId="Title">
    <w:name w:val="Title"/>
    <w:basedOn w:val="Normal"/>
    <w:qFormat/>
    <w:rsid w:val="00F35406"/>
    <w:pPr>
      <w:jc w:val="center"/>
    </w:pPr>
    <w:rPr>
      <w:b/>
      <w:sz w:val="24"/>
    </w:rPr>
  </w:style>
  <w:style w:type="paragraph" w:styleId="BodyText">
    <w:name w:val="Body Text"/>
    <w:aliases w:val="SCA Body Text,SCA Body Text1,SCA Body Text2,SCA Body Text11,BodyText-JEA,BT-JEA"/>
    <w:basedOn w:val="Normal"/>
    <w:link w:val="BodyTextChar"/>
    <w:rsid w:val="00F35406"/>
    <w:pPr>
      <w:spacing w:after="120"/>
    </w:pPr>
    <w:rPr>
      <w:sz w:val="24"/>
    </w:rPr>
  </w:style>
  <w:style w:type="paragraph" w:styleId="BodyText3">
    <w:name w:val="Body Text 3"/>
    <w:basedOn w:val="Normal"/>
    <w:rsid w:val="00F35406"/>
    <w:pPr>
      <w:spacing w:before="120" w:after="120"/>
    </w:pPr>
    <w:rPr>
      <w:sz w:val="22"/>
    </w:rPr>
  </w:style>
  <w:style w:type="paragraph" w:customStyle="1" w:styleId="Style4">
    <w:name w:val="Style4"/>
    <w:next w:val="Normal"/>
    <w:rsid w:val="00F35406"/>
    <w:rPr>
      <w:noProof/>
      <w:sz w:val="24"/>
    </w:rPr>
  </w:style>
  <w:style w:type="paragraph" w:styleId="BlockText">
    <w:name w:val="Block Text"/>
    <w:basedOn w:val="Normal"/>
    <w:rsid w:val="00F35406"/>
    <w:pPr>
      <w:spacing w:after="120"/>
      <w:ind w:left="720" w:right="43"/>
      <w:jc w:val="both"/>
    </w:pPr>
    <w:rPr>
      <w:sz w:val="22"/>
    </w:rPr>
  </w:style>
  <w:style w:type="character" w:styleId="Hyperlink">
    <w:name w:val="Hyperlink"/>
    <w:basedOn w:val="DefaultParagraphFont"/>
    <w:rsid w:val="00F35406"/>
    <w:rPr>
      <w:color w:val="0000FF"/>
      <w:u w:val="single"/>
    </w:rPr>
  </w:style>
  <w:style w:type="paragraph" w:customStyle="1" w:styleId="SCATableHeading">
    <w:name w:val="SCA Table Heading"/>
    <w:basedOn w:val="Normal"/>
    <w:rsid w:val="00F35406"/>
    <w:pPr>
      <w:jc w:val="center"/>
    </w:pPr>
    <w:rPr>
      <w:b/>
      <w:caps/>
    </w:rPr>
  </w:style>
  <w:style w:type="paragraph" w:customStyle="1" w:styleId="Default">
    <w:name w:val="Default"/>
    <w:rsid w:val="002A28C2"/>
    <w:pPr>
      <w:autoSpaceDE w:val="0"/>
      <w:autoSpaceDN w:val="0"/>
      <w:adjustRightInd w:val="0"/>
    </w:pPr>
    <w:rPr>
      <w:color w:val="000000"/>
      <w:sz w:val="24"/>
      <w:szCs w:val="24"/>
    </w:rPr>
  </w:style>
  <w:style w:type="character" w:customStyle="1" w:styleId="BodyTextChar">
    <w:name w:val="Body Text Char"/>
    <w:aliases w:val="SCA Body Text Char,SCA Body Text1 Char,SCA Body Text2 Char,SCA Body Text11 Char,BodyText-JEA Char,BT-JEA Char"/>
    <w:basedOn w:val="DefaultParagraphFont"/>
    <w:link w:val="BodyText"/>
    <w:rsid w:val="00A47920"/>
    <w:rPr>
      <w:sz w:val="24"/>
    </w:rPr>
  </w:style>
  <w:style w:type="character" w:styleId="FollowedHyperlink">
    <w:name w:val="FollowedHyperlink"/>
    <w:basedOn w:val="DefaultParagraphFont"/>
    <w:semiHidden/>
    <w:unhideWhenUsed/>
    <w:rsid w:val="00B2074B"/>
    <w:rPr>
      <w:color w:val="800080" w:themeColor="followedHyperlink"/>
      <w:u w:val="single"/>
    </w:rPr>
  </w:style>
  <w:style w:type="paragraph" w:styleId="ListParagraph">
    <w:name w:val="List Paragraph"/>
    <w:basedOn w:val="Normal"/>
    <w:uiPriority w:val="34"/>
    <w:qFormat/>
    <w:rsid w:val="00A707D8"/>
    <w:pPr>
      <w:ind w:left="720"/>
      <w:contextualSpacing/>
    </w:pPr>
  </w:style>
  <w:style w:type="paragraph" w:styleId="Caption">
    <w:name w:val="caption"/>
    <w:basedOn w:val="Normal"/>
    <w:next w:val="Normal"/>
    <w:qFormat/>
    <w:rsid w:val="00A707D8"/>
    <w:pPr>
      <w:spacing w:before="360" w:after="120"/>
    </w:pPr>
    <w:rPr>
      <w:b/>
      <w:caps/>
      <w:sz w:val="22"/>
    </w:rPr>
  </w:style>
  <w:style w:type="paragraph" w:styleId="FootnoteText">
    <w:name w:val="footnote text"/>
    <w:basedOn w:val="Normal"/>
    <w:link w:val="FootnoteTextChar"/>
    <w:semiHidden/>
    <w:unhideWhenUsed/>
    <w:rsid w:val="00A707D8"/>
  </w:style>
  <w:style w:type="character" w:customStyle="1" w:styleId="FootnoteTextChar">
    <w:name w:val="Footnote Text Char"/>
    <w:basedOn w:val="DefaultParagraphFont"/>
    <w:link w:val="FootnoteText"/>
    <w:semiHidden/>
    <w:rsid w:val="00A707D8"/>
  </w:style>
  <w:style w:type="character" w:styleId="FootnoteReference">
    <w:name w:val="footnote reference"/>
    <w:basedOn w:val="DefaultParagraphFont"/>
    <w:semiHidden/>
    <w:unhideWhenUsed/>
    <w:rsid w:val="00A707D8"/>
    <w:rPr>
      <w:vertAlign w:val="superscript"/>
    </w:rPr>
  </w:style>
  <w:style w:type="paragraph" w:styleId="BalloonText">
    <w:name w:val="Balloon Text"/>
    <w:basedOn w:val="Normal"/>
    <w:link w:val="BalloonTextChar"/>
    <w:semiHidden/>
    <w:unhideWhenUsed/>
    <w:rsid w:val="00FC3D22"/>
    <w:rPr>
      <w:rFonts w:ascii="Segoe UI" w:hAnsi="Segoe UI" w:cs="Segoe UI"/>
      <w:sz w:val="18"/>
      <w:szCs w:val="18"/>
    </w:rPr>
  </w:style>
  <w:style w:type="character" w:customStyle="1" w:styleId="BalloonTextChar">
    <w:name w:val="Balloon Text Char"/>
    <w:basedOn w:val="DefaultParagraphFont"/>
    <w:link w:val="BalloonText"/>
    <w:semiHidden/>
    <w:rsid w:val="00FC3D22"/>
    <w:rPr>
      <w:rFonts w:ascii="Segoe UI" w:hAnsi="Segoe UI" w:cs="Segoe UI"/>
      <w:sz w:val="18"/>
      <w:szCs w:val="18"/>
    </w:rPr>
  </w:style>
  <w:style w:type="character" w:customStyle="1" w:styleId="FooterChar">
    <w:name w:val="Footer Char"/>
    <w:basedOn w:val="DefaultParagraphFont"/>
    <w:link w:val="Footer"/>
    <w:uiPriority w:val="99"/>
    <w:rsid w:val="00E56E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swa.org/pdf/PBRWF_2_-_12.10.12.pdf" TargetMode="External"/><Relationship Id="rId18" Type="http://schemas.openxmlformats.org/officeDocument/2006/relationships/hyperlink" Target="http://www.epa.gov/ttn/emc/methods/method26.html"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mailto:john.dawson@dep.state.fl.us" TargetMode="External"/><Relationship Id="rId7" Type="http://schemas.openxmlformats.org/officeDocument/2006/relationships/endnotes" Target="endnotes.xml"/><Relationship Id="rId12" Type="http://schemas.openxmlformats.org/officeDocument/2006/relationships/hyperlink" Target="http://www.dep.state.fl.us/Air/emission/bioenergy/palm_beach.htm" TargetMode="External"/><Relationship Id="rId17" Type="http://schemas.openxmlformats.org/officeDocument/2006/relationships/hyperlink" Target="http://arm-permit2k.dep.state.fl.us/adh/prod/pdf_permit_zip_files/0112120.017.AC.D_pdf.zip"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www.flsenate.gov/Laws/Statutes/2013/403.707" TargetMode="External"/><Relationship Id="rId20" Type="http://schemas.openxmlformats.org/officeDocument/2006/relationships/hyperlink" Target="http://www.catalysts.basf.com/p02/USWeb-Internet/catalysts/en/content/microsites/catalysts/prods-inds/process-catalysts/selective-catalytic-NOx-red-abatemen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hyperlink" Target="http://www.topsoe.com/business_areas/air_pollution_control/processes/~/media/PDF%20files/Scr_denox/dnx_waste_01_12.ashx"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swa.org/vm95webcam/" TargetMode="External"/><Relationship Id="rId22" Type="http://schemas.openxmlformats.org/officeDocument/2006/relationships/header" Target="header1.xml"/><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hyperlink" Target="http://www.epa.gov/nsr/documents/20140724memo.pdf" TargetMode="External"/><Relationship Id="rId1" Type="http://schemas.openxmlformats.org/officeDocument/2006/relationships/hyperlink" Target="http://www.supremecourt.gov/opinions/13pdf/12-1146_4g18.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910096-571B-47F9-9D85-62AD650E38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1370</TotalTime>
  <Pages>9</Pages>
  <Words>3834</Words>
  <Characters>22600</Characters>
  <Application>Microsoft Office Word</Application>
  <DocSecurity>0</DocSecurity>
  <Lines>188</Lines>
  <Paragraphs>52</Paragraphs>
  <ScaleCrop>false</ScaleCrop>
  <HeadingPairs>
    <vt:vector size="2" baseType="variant">
      <vt:variant>
        <vt:lpstr>Title</vt:lpstr>
      </vt:variant>
      <vt:variant>
        <vt:i4>1</vt:i4>
      </vt:variant>
    </vt:vector>
  </HeadingPairs>
  <TitlesOfParts>
    <vt:vector size="1" baseType="lpstr">
      <vt:lpstr>Technical Evaluation &amp; Preliminary Determination</vt:lpstr>
    </vt:vector>
  </TitlesOfParts>
  <Manager>Trina Vielhauer</Manager>
  <Company>FDEP/DARM/BAR</Company>
  <LinksUpToDate>false</LinksUpToDate>
  <CharactersWithSpaces>26382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Preliminary Determination</dc:title>
  <dc:subject>Draft Permit</dc:subject>
  <dc:creator>Jeff Koerner</dc:creator>
  <cp:keywords/>
  <cp:lastModifiedBy>Read, David</cp:lastModifiedBy>
  <cp:revision>40</cp:revision>
  <cp:lastPrinted>2009-02-12T15:11:00Z</cp:lastPrinted>
  <dcterms:created xsi:type="dcterms:W3CDTF">2014-07-21T15:40:00Z</dcterms:created>
  <dcterms:modified xsi:type="dcterms:W3CDTF">2014-11-12T20:50:00Z</dcterms:modified>
</cp:coreProperties>
</file>